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71.eps" ContentType="application/eps"/>
  <Override PartName="/word/media/rId79.png" ContentType="image/png"/>
  <Override PartName="/word/media/rId99.pdf" ContentType="application/pdf"/>
  <Override PartName="/word/media/rId86.png" ContentType="image/png"/>
  <Override PartName="/word/media/rId103.jpg" ContentType="image/jpeg"/>
  <Override PartName="/word/media/rId82.eps" ContentType="application/eps"/>
  <Override PartName="/word/media/rId75.eps" ContentType="application/eps"/>
  <Override PartName="/word/media/rId59.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This</w:t>
      </w:r>
      <w:r>
        <w:t xml:space="preserve"> </w:t>
      </w:r>
      <w:r>
        <w:t xml:space="preserve">is</w:t>
      </w:r>
      <w:r>
        <w:t xml:space="preserve"> </w:t>
      </w:r>
      <w:r>
        <w:t xml:space="preserve">the</w:t>
      </w:r>
      <w:r>
        <w:t xml:space="preserve"> </w:t>
      </w:r>
      <w:r>
        <w:t xml:space="preserve">title</w:t>
      </w:r>
      <w:r>
        <w:t xml:space="preserve"> </w:t>
      </w:r>
      <w:r>
        <w:t xml:space="preserve">of</w:t>
      </w:r>
      <w:r>
        <w:t xml:space="preserve"> </w:t>
      </w:r>
      <w:r>
        <w:t xml:space="preserve">the</w:t>
      </w:r>
      <w:r>
        <w:t xml:space="preserve"> </w:t>
      </w:r>
      <w:r>
        <w:t xml:space="preserve">thesis</w:t>
      </w:r>
    </w:p>
    <w:p>
      <w:pPr>
        <w:pStyle w:val="Subtitle"/>
      </w:pPr>
      <w:r>
        <w:t xml:space="preserve">This</w:t>
      </w:r>
      <w:r>
        <w:t xml:space="preserve"> </w:t>
      </w:r>
      <w:r>
        <w:t xml:space="preserve">is</w:t>
      </w:r>
      <w:r>
        <w:t xml:space="preserve"> </w:t>
      </w:r>
      <w:r>
        <w:t xml:space="preserve">the</w:t>
      </w:r>
      <w:r>
        <w:t xml:space="preserve"> </w:t>
      </w:r>
      <w:r>
        <w:t xml:space="preserve">subtitle</w:t>
      </w:r>
      <w:r>
        <w:t xml:space="preserve"> </w:t>
      </w:r>
      <w:r>
        <w:t xml:space="preserve">of</w:t>
      </w:r>
      <w:r>
        <w:t xml:space="preserve"> </w:t>
      </w:r>
      <w:r>
        <w:t xml:space="preserve">the</w:t>
      </w:r>
      <w:r>
        <w:t xml:space="preserve"> </w:t>
      </w:r>
      <w:r>
        <w:t xml:space="preserve">thesis</w:t>
      </w:r>
    </w:p>
    <w:p>
      <w:pPr>
        <w:pStyle w:val="Author"/>
      </w:pPr>
      <w:r>
        <w:t xml:space="preserve">Abhijith</w:t>
      </w:r>
      <w:r>
        <w:t xml:space="preserve"> </w:t>
      </w:r>
      <w:r>
        <w:t xml:space="preserve">Prakash</w:t>
      </w:r>
    </w:p>
    <w:p>
      <w:pPr>
        <w:pStyle w:val="Date"/>
      </w:pPr>
      <w:r>
        <w:t xml:space="preserve">April</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1" w:name="acknowledgements"/>
    <w:p>
      <w:pPr>
        <w:pStyle w:val="Heading1"/>
      </w:pPr>
      <w:r>
        <w:t xml:space="preserve">Acknowledgements</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p>
      <w:pPr>
        <w:pStyle w:val="Heading1"/>
      </w:pPr>
      <w:r>
        <w:rPr>
          <w:rStyle w:val="SectionNumber"/>
        </w:rPr>
        <w:t xml:space="preserve">1</w:t>
      </w:r>
      <w:r>
        <w:tab/>
      </w:r>
      <w:r>
        <w:t xml:space="preserve">List of Figures</w:t>
      </w:r>
    </w:p>
    <w:p>
      <w:pPr>
        <w:pStyle w:val="FirstParagraph"/>
      </w:pPr>
      <w:r>
        <w:t xml:space="preserve">1. Regions/states and transmission in the NEM. Source:</w:t>
      </w:r>
      <w:r>
        <w:t xml:space="preserve"> </w:t>
      </w:r>
      <w:r>
        <w:t xml:space="preserve">Australian Energy Market Commission (</w:t>
      </w:r>
      <w:hyperlink w:anchor="X520e518fc5bb21bb6fbac8c9ae07c1cca4e9089">
        <w:r>
          <w:rPr>
            <w:rStyle w:val="Hyperlink"/>
          </w:rPr>
          <w:t xml:space="preserve">n.d.</w:t>
        </w:r>
      </w:hyperlink>
      <w:r>
        <w:t xml:space="preserve">)</w:t>
      </w:r>
      <w:r>
        <w:br/>
      </w:r>
    </w:p>
    <w:p>
      <w:pPr>
        <w:pStyle w:val="BodyText"/>
      </w:pPr>
      <w:r>
        <w:t xml:space="preserve">2.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3.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4.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5.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6.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7.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8. RV Calypso is a former British Royal Navy minesweeper converted into a research vessel for the oceanographic researcher Jacques-Yves Cousteau. It was equipped with a mobile laboratory for underwater field research.</w:t>
      </w:r>
      <w:r>
        <w:br/>
      </w:r>
    </w:p>
    <w:p>
      <w:pPr>
        <w:pStyle w:val="BodyText"/>
      </w:pPr>
      <w:r>
        <w:t xml:space="preserve">9. This is not a boat</w:t>
      </w:r>
      <w:r>
        <w:br/>
      </w:r>
    </w:p>
    <w:p>
      <w:pPr>
        <w:pStyle w:val="Heading1"/>
      </w:pPr>
      <w:r>
        <w:rPr>
          <w:rStyle w:val="SectionNumber"/>
        </w:rPr>
        <w:t xml:space="preserve">2</w:t>
      </w:r>
      <w:r>
        <w:tab/>
      </w:r>
      <w:r>
        <w:t xml:space="preserve">List of Tables</w:t>
      </w:r>
    </w:p>
    <w:p>
      <w:pPr>
        <w:pStyle w:val="FirstParagraph"/>
      </w:pPr>
      <w:r>
        <w:t xml:space="preserve">1. 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br/>
      </w:r>
    </w:p>
    <w:p>
      <w:pPr>
        <w:pStyle w:val="BodyText"/>
      </w:pPr>
      <w:r>
        <w:t xml:space="preserve">2. Important data for various land masses.</w:t>
      </w:r>
      <w:r>
        <w:br/>
      </w:r>
    </w:p>
    <w:bookmarkStart w:id="22" w:name="abbreviations-and-nomenclature"/>
    <w:p>
      <w:pPr>
        <w:pStyle w:val="Heading1"/>
      </w:pPr>
      <w:r>
        <w:t xml:space="preserve">Abbreviations and Nomenclature</w:t>
      </w:r>
    </w:p>
    <w:bookmarkEnd w:id="22"/>
    <w:bookmarkStart w:id="29" w:name="sec:intro"/>
    <w:p>
      <w:pPr>
        <w:pStyle w:val="Heading1"/>
      </w:pPr>
      <w:r>
        <w:rPr>
          <w:rStyle w:val="SectionNumber"/>
        </w:rPr>
        <w:t xml:space="preserve">3</w:t>
      </w:r>
      <w:r>
        <w:tab/>
      </w:r>
      <w:r>
        <w:t xml:space="preserve">Introduction, with a citation</w:t>
      </w:r>
    </w:p>
    <w:bookmarkStart w:id="23" w:name="background"/>
    <w:p>
      <w:pPr>
        <w:pStyle w:val="Heading2"/>
      </w:pPr>
      <w:r>
        <w:rPr>
          <w:rStyle w:val="SectionNumber"/>
        </w:rPr>
        <w:t xml:space="preserve">3.1</w:t>
      </w:r>
      <w:r>
        <w:tab/>
      </w:r>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w:t>
      </w:r>
      <w:hyperlink w:anchor="ref-Cousteau1963">
        <w:r>
          <w:rPr>
            <w:rStyle w:val="Hyperlink"/>
            <w:bCs/>
            <w:b/>
          </w:rPr>
          <w:t xml:space="preserve">Cousteau1963?</w:t>
        </w:r>
      </w:hyperlink>
      <w:r>
        <w:t xml:space="preserve">)</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bookmarkEnd w:id="23"/>
    <w:bookmarkStart w:id="25" w:name="the-middle-bit"/>
    <w:p>
      <w:pPr>
        <w:pStyle w:val="Heading2"/>
      </w:pPr>
      <w:r>
        <w:rPr>
          <w:rStyle w:val="SectionNumber"/>
        </w:rPr>
        <w:t xml:space="preserve">3.2</w:t>
      </w:r>
      <w:r>
        <w:tab/>
      </w:r>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bookmarkStart w:id="24" w:name="subsection-of-the-middle-bit"/>
    <w:p>
      <w:pPr>
        <w:pStyle w:val="Heading3"/>
      </w:pPr>
      <w:r>
        <w:rPr>
          <w:rStyle w:val="SectionNumber"/>
        </w:rPr>
        <w:t xml:space="preserve">3.2.1</w:t>
      </w:r>
      <w:r>
        <w:tab/>
      </w:r>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bookmarkEnd w:id="24"/>
    <w:bookmarkEnd w:id="25"/>
    <w:bookmarkStart w:id="28" w:name="summary-of-chapters"/>
    <w:p>
      <w:pPr>
        <w:pStyle w:val="Heading2"/>
      </w:pPr>
      <w:r>
        <w:rPr>
          <w:rStyle w:val="SectionNumber"/>
        </w:rPr>
        <w:t xml:space="preserve">3.3</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shows how to use citations and how to reference section headers. Chapter 2 shows how use and reference equations. Chapter </w:t>
      </w:r>
      <w:r>
        <w:rPr>
          <w:bCs/>
          <w:b/>
        </w:rPr>
        <w:t xml:space="preserve">¿sec:first?</w:t>
      </w:r>
      <w:r>
        <w:t xml:space="preserve"> </w:t>
      </w:r>
      <w:r>
        <w:t xml:space="preserve">shows how to use and reference code. Chapter 4 shows how to use, reference, and resize pdf and jpg figures. Chapter 5 shows how to use and reference tables. Chapter 6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 See the base</w:t>
      </w:r>
      <w:r>
        <w:t xml:space="preserve"> </w:t>
      </w:r>
      <w:hyperlink r:id="rId26">
        <w:r>
          <w:rPr>
            <w:rStyle w:val="VerbatimChar"/>
          </w:rPr>
          <w:t xml:space="preserve">README.md</w:t>
        </w:r>
      </w:hyperlink>
      <w:r>
        <w:t xml:space="preserve"> </w:t>
      </w:r>
      <w:r>
        <w:t xml:space="preserve">for how References are handled - leave</w:t>
      </w:r>
      <w:r>
        <w:t xml:space="preserve"> </w:t>
      </w:r>
      <w:r>
        <w:rPr>
          <w:rStyle w:val="VerbatimChar"/>
        </w:rPr>
        <w:t xml:space="preserve">*_references.md</w:t>
      </w:r>
      <w:r>
        <w:t xml:space="preserve"> </w:t>
      </w:r>
      <w:r>
        <w:t xml:space="preserve">alone, and provide it to</w:t>
      </w:r>
      <w:r>
        <w:t xml:space="preserve"> </w:t>
      </w:r>
      <w:r>
        <w:rPr>
          <w:rStyle w:val="VerbatimChar"/>
        </w:rPr>
        <w:t xml:space="preserve">pandoc</w:t>
      </w:r>
      <w:r>
        <w:t xml:space="preserve"> </w:t>
      </w:r>
      <w:r>
        <w:t xml:space="preserve">last.</w:t>
      </w:r>
    </w:p>
    <w:p>
      <w:pPr>
        <w:pStyle w:val="BodyText"/>
      </w:pPr>
      <w:r>
        <w:t xml:space="preserve">Proin faucibus nibh sit amet augue blandit varius</w:t>
      </w:r>
      <w:r>
        <w:rPr>
          <w:rStyle w:val="FootnoteReference"/>
        </w:rPr>
        <w:footnoteReference w:id="27"/>
      </w:r>
      <w:r>
        <w:t xml:space="preserve">.</w:t>
      </w:r>
    </w:p>
    <w:bookmarkEnd w:id="28"/>
    <w:bookmarkEnd w:id="29"/>
    <w:bookmarkStart w:id="36" w:name="sec:lit_review"/>
    <w:p>
      <w:pPr>
        <w:pStyle w:val="Heading1"/>
      </w:pPr>
      <w:r>
        <w:rPr>
          <w:rStyle w:val="SectionNumber"/>
        </w:rPr>
        <w:t xml:space="preserve">4</w:t>
      </w:r>
      <w:r>
        <w:tab/>
      </w:r>
      <w:r>
        <w:t xml:space="preserve">Literature review, with maths</w:t>
      </w:r>
    </w:p>
    <w:bookmarkStart w:id="30" w:name="introduction"/>
    <w:p>
      <w:pPr>
        <w:pStyle w:val="Heading2"/>
      </w:pPr>
      <w:r>
        <w:rPr>
          <w:rStyle w:val="SectionNumber"/>
        </w:rPr>
        <w:t xml:space="preserve">4.1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30"/>
    <w:bookmarkStart w:id="32" w:name="the-middle"/>
    <w:p>
      <w:pPr>
        <w:pStyle w:val="Heading2"/>
      </w:pPr>
      <w:r>
        <w:rPr>
          <w:rStyle w:val="SectionNumber"/>
        </w:rPr>
        <w:t xml:space="preserve">4.2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31" w:name="eq:my_equation"/>
      <m:oMathPara>
        <m:oMathParaPr>
          <m:jc m:val="center"/>
        </m:oMathParaPr>
        <m:oMath>
          <m:r>
            <m:t>f</m:t>
          </m:r>
          <m:d>
            <m:dPr>
              <m:begChr m:val="("/>
              <m:endChr m:val=")"/>
              <m:sepChr m:val=""/>
              <m:grow/>
            </m:dPr>
            <m:e>
              <m:r>
                <m:t>x</m:t>
              </m:r>
            </m:e>
          </m:d>
          <m:r>
            <m:rPr>
              <m:sty m:val="p"/>
            </m:rPr>
            <m:t>=</m:t>
          </m:r>
          <m:r>
            <m:t>a</m:t>
          </m:r>
          <m:sSup>
            <m:e>
              <m:r>
                <m:t>x</m:t>
              </m:r>
            </m:e>
            <m:sup>
              <m:r>
                <m:t>3</m:t>
              </m:r>
            </m:sup>
          </m:sSup>
          <m:r>
            <m:rPr>
              <m:sty m:val="p"/>
            </m:rPr>
            <m:t>+</m:t>
          </m:r>
          <m:r>
            <m:t>b</m:t>
          </m:r>
          <m:sSup>
            <m:e>
              <m:r>
                <m:t>x</m:t>
              </m:r>
            </m:e>
            <m:sup>
              <m:r>
                <m:t>2</m:t>
              </m:r>
            </m:sup>
          </m:sSup>
          <m:r>
            <m:rPr>
              <m:sty m:val="p"/>
            </m:rPr>
            <m:t>+</m:t>
          </m:r>
          <m:r>
            <m:t>c</m:t>
          </m:r>
          <m:r>
            <m:t>x</m:t>
          </m:r>
          <m:r>
            <m:rPr>
              <m:sty m:val="p"/>
            </m:rPr>
            <m:t>+</m:t>
          </m:r>
          <m:r>
            <m:t>d</m:t>
          </m:r>
          <m:r>
            <m:t>  </m:t>
          </m:r>
          <m:d>
            <m:dPr>
              <m:begChr m:val="("/>
              <m:endChr m:val=")"/>
              <m:sepChr m:val=""/>
              <m:grow/>
            </m:dPr>
            <m:e>
              <m:r>
                <m:t>1</m:t>
              </m:r>
            </m:e>
          </m:d>
        </m:oMath>
      </m:oMathPara>
      <w:bookmarkEnd w:id="31"/>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 1 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2"/>
    <w:bookmarkStart w:id="34" w:name="a-complicated-math-equation"/>
    <w:p>
      <w:pPr>
        <w:pStyle w:val="Heading2"/>
      </w:pPr>
      <w:r>
        <w:rPr>
          <w:rStyle w:val="SectionNumber"/>
        </w:rPr>
        <w:t xml:space="preserve">4.3</w:t>
      </w:r>
      <w:r>
        <w:tab/>
      </w:r>
      <w:r>
        <w:t xml:space="preserve">A complicated math equation</w:t>
      </w:r>
    </w:p>
    <w:p>
      <w:pPr>
        <w:pStyle w:val="FirstParagraph"/>
      </w:pPr>
      <w:r>
        <w:t xml:space="preserve">The following raw text in markdown behind Equation 2 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33" w:name="eq:my_complicated_equation"/>
      <w:r>
        <w:t xml:space="preserve">$$
\begin{aligned}
    \hat{\theta}_g = \argmin_{\theta_g} \Big\{ - &amp;\sum^{N}_{n=1}\Big( 1-\mathbb{1}[f(\pmb x^{(n)})]\Big)\log f\Big(\pmb x^{(n)} \\
    &amp;+ g(\pmb x^{(n)};\theta_g)\Big) + \lambda|g(\pmb x^{(n)};\theta_g)|_2 \Big\} \ ,
\end{aligned}
\qquad{(2)}$$</w:t>
      </w:r>
      <w:bookmarkEnd w:id="33"/>
    </w:p>
    <w:bookmarkEnd w:id="34"/>
    <w:bookmarkStart w:id="35" w:name="conclusion"/>
    <w:p>
      <w:pPr>
        <w:pStyle w:val="Heading2"/>
      </w:pPr>
      <w:r>
        <w:rPr>
          <w:rStyle w:val="SectionNumber"/>
        </w:rPr>
        <w:t xml:space="preserve">4.4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bookmarkEnd w:id="35"/>
    <w:bookmarkEnd w:id="36"/>
    <w:bookmarkStart w:id="93" w:name="sec:fcs"/>
    <w:p>
      <w:pPr>
        <w:pStyle w:val="Heading1"/>
      </w:pPr>
      <w:r>
        <w:rPr>
          <w:rStyle w:val="SectionNumber"/>
        </w:rPr>
        <w:t xml:space="preserve">5</w:t>
      </w:r>
      <w:r>
        <w:tab/>
      </w:r>
      <w:r>
        <w:t xml:space="preserve">Frequency control arrangements: insights from the National Electricity Market</w:t>
      </w:r>
    </w:p>
    <w:bookmarkStart w:id="37" w:name="link-to-thesis"/>
    <w:p>
      <w:pPr>
        <w:pStyle w:val="Heading2"/>
      </w:pPr>
      <w:r>
        <w:rPr>
          <w:rStyle w:val="SectionNumber"/>
        </w:rPr>
        <w:t xml:space="preserve">5.1</w:t>
      </w:r>
      <w:r>
        <w:tab/>
      </w:r>
      <w:r>
        <w:t xml:space="preserve">Link to thesis</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bookmarkEnd w:id="37"/>
    <w:bookmarkStart w:id="38" w:name="abstract-1"/>
    <w:p>
      <w:pPr>
        <w:pStyle w:val="Heading2"/>
      </w:pPr>
      <w:r>
        <w:rPr>
          <w:rStyle w:val="SectionNumber"/>
        </w:rPr>
        <w:t xml:space="preserve">5.2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38"/>
    <w:bookmarkStart w:id="40" w:name="sec:fcs-intro"/>
    <w:p>
      <w:pPr>
        <w:pStyle w:val="Heading2"/>
      </w:pPr>
      <w:r>
        <w:rPr>
          <w:rStyle w:val="SectionNumber"/>
        </w:rPr>
        <w:t xml:space="preserve">5.3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39"/>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1"/>
        </w:numPr>
      </w:pPr>
      <w:r>
        <w:t xml:space="preserve">Mandate or incentivise participant behaviour in the energy market that facilitates system balancing. This includes enforcing dispatch compliance or penalising participant portfolio imbalances; and</w:t>
      </w:r>
    </w:p>
    <w:p>
      <w:pPr>
        <w:numPr>
          <w:ilvl w:val="0"/>
          <w:numId w:val="100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2020b</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2020c</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3.4,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3.6. In Section Chapter 3.7, we analyse the performance of the NEM’s frequency control arrangements in responding to the challenges explored in Section Chapter 3.4,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40"/>
    <w:bookmarkStart w:id="46" w:name="sec:fcs-context"/>
    <w:p>
      <w:pPr>
        <w:pStyle w:val="Heading2"/>
      </w:pPr>
      <w:r>
        <w:rPr>
          <w:rStyle w:val="SectionNumber"/>
        </w:rPr>
        <w:t xml:space="preserve">5.4</w:t>
      </w:r>
      <w:r>
        <w:tab/>
      </w:r>
      <w:r>
        <w:t xml:space="preserve">Context</w:t>
      </w:r>
    </w:p>
    <w:bookmarkStart w:id="41" w:name="conventional-frequency-control-schemes"/>
    <w:p>
      <w:pPr>
        <w:pStyle w:val="Heading3"/>
      </w:pPr>
      <w:r>
        <w:rPr>
          <w:rStyle w:val="SectionNumber"/>
        </w:rPr>
        <w:t xml:space="preserve">5.4.1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41"/>
    <w:bookmarkStart w:id="43" w:name="Xc82674c6760c115599413c45308acdf9ca7a6e4"/>
    <w:p>
      <w:pPr>
        <w:pStyle w:val="Heading3"/>
      </w:pPr>
      <w:r>
        <w:rPr>
          <w:rStyle w:val="SectionNumber"/>
        </w:rPr>
        <w:t xml:space="preserve">5.4.2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Sections 3.4.3 &amp; 3.4.4, we provide an overview of typical features</w:t>
      </w:r>
      <w:r>
        <w:rPr>
          <w:rStyle w:val="FootnoteReference"/>
        </w:rPr>
        <w:footnoteReference w:id="42"/>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43"/>
    <w:bookmarkStart w:id="44" w:name="sec:fcs-NA"/>
    <w:p>
      <w:pPr>
        <w:pStyle w:val="Heading3"/>
      </w:pPr>
      <w:r>
        <w:rPr>
          <w:rStyle w:val="SectionNumber"/>
        </w:rPr>
        <w:t xml:space="preserve">5.4.3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44"/>
    <w:bookmarkStart w:id="45" w:name="sec:fcs-EU"/>
    <w:p>
      <w:pPr>
        <w:pStyle w:val="Heading3"/>
      </w:pPr>
      <w:r>
        <w:rPr>
          <w:rStyle w:val="SectionNumber"/>
        </w:rPr>
        <w:t xml:space="preserve">5.4.4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45"/>
    <w:bookmarkEnd w:id="46"/>
    <w:bookmarkStart w:id="50" w:name="designing-frequency-control-arrangements"/>
    <w:p>
      <w:pPr>
        <w:pStyle w:val="Heading2"/>
      </w:pPr>
      <w:r>
        <w:rPr>
          <w:rStyle w:val="SectionNumber"/>
        </w:rPr>
        <w:t xml:space="preserve">5.5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3"/>
        </w:numPr>
      </w:pPr>
      <w:r>
        <w:t xml:space="preserve">FCS procurement;</w:t>
      </w:r>
    </w:p>
    <w:p>
      <w:pPr>
        <w:numPr>
          <w:ilvl w:val="0"/>
          <w:numId w:val="1003"/>
        </w:numPr>
      </w:pPr>
      <w:r>
        <w:t xml:space="preserve">Price formation, which when efficient should lead to FCS prices not only reflecting the true cost of the service, but also its true value to the system; and</w:t>
      </w:r>
    </w:p>
    <w:p>
      <w:pPr>
        <w:numPr>
          <w:ilvl w:val="0"/>
          <w:numId w:val="100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Sections 3.5.1 and 3.5.2, we present the most prominent challenges and their treatment in the literature.</w:t>
      </w:r>
    </w:p>
    <w:bookmarkStart w:id="48" w:name="sec:fcs-ibr-challenges"/>
    <w:p>
      <w:pPr>
        <w:pStyle w:val="Heading3"/>
      </w:pPr>
      <w:r>
        <w:rPr>
          <w:rStyle w:val="SectionNumber"/>
        </w:rPr>
        <w:t xml:space="preserve">5.5.1</w:t>
      </w:r>
      <w:r>
        <w:tab/>
      </w:r>
      <w:r>
        <w:t xml:space="preserve">The influx of VRE and other IBR in power systems</w:t>
      </w:r>
    </w:p>
    <w:p>
      <w:pPr>
        <w:pStyle w:val="FirstParagraph"/>
      </w:pPr>
      <w:r>
        <w:t xml:space="preserve">As discussed in Section 3.3,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4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48"/>
    <w:bookmarkStart w:id="49" w:name="sec:fcs-efficiency-challenges"/>
    <w:p>
      <w:pPr>
        <w:pStyle w:val="Heading3"/>
      </w:pPr>
      <w:r>
        <w:rPr>
          <w:rStyle w:val="SectionNumber"/>
        </w:rPr>
        <w:t xml:space="preserve">5.5.2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3.3,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49"/>
    <w:bookmarkEnd w:id="50"/>
    <w:bookmarkStart w:id="68" w:name="sec:fcs-nem"/>
    <w:p>
      <w:pPr>
        <w:pStyle w:val="Heading2"/>
      </w:pPr>
      <w:r>
        <w:rPr>
          <w:rStyle w:val="SectionNumber"/>
        </w:rPr>
        <w:t xml:space="preserve">5.6</w:t>
      </w:r>
      <w:r>
        <w:tab/>
      </w:r>
      <w:r>
        <w:t xml:space="preserve">Frequency control arrangements in the Australian National Electricity Market</w:t>
      </w:r>
    </w:p>
    <w:bookmarkStart w:id="54" w:name="overview-of-the-nem"/>
    <w:p>
      <w:pPr>
        <w:pStyle w:val="Heading3"/>
      </w:pPr>
      <w:r>
        <w:rPr>
          <w:rStyle w:val="SectionNumber"/>
        </w:rPr>
        <w:t xml:space="preserve">5.6.1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1).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5327904" cy="6906768"/>
            <wp:effectExtent b="0" l="0" r="0" t="0"/>
            <wp:docPr descr="Regions/states and transmission in the NEM. Source: Australian Energy Market Commission (n.d.)" title="" id="52" name="Picture"/>
            <a:graphic>
              <a:graphicData uri="http://schemas.openxmlformats.org/drawingml/2006/picture">
                <pic:pic>
                  <pic:nvPicPr>
                    <pic:cNvPr descr="source/figures/NEM.png" id="53" name="Picture"/>
                    <pic:cNvPicPr>
                      <a:picLocks noChangeArrowheads="1" noChangeAspect="1"/>
                    </pic:cNvPicPr>
                  </pic:nvPicPr>
                  <pic:blipFill>
                    <a:blip r:embed="rId51"/>
                    <a:stretch>
                      <a:fillRect/>
                    </a:stretch>
                  </pic:blipFill>
                  <pic:spPr bwMode="auto">
                    <a:xfrm>
                      <a:off x="0" y="0"/>
                      <a:ext cx="5327904" cy="6906768"/>
                    </a:xfrm>
                    <a:prstGeom prst="rect">
                      <a:avLst/>
                    </a:prstGeom>
                    <a:noFill/>
                    <a:ln w="9525">
                      <a:noFill/>
                      <a:headEnd/>
                      <a:tailEnd/>
                    </a:ln>
                  </pic:spPr>
                </pic:pic>
              </a:graphicData>
            </a:graphic>
          </wp:inline>
        </w:drawing>
      </w:r>
    </w:p>
    <w:p>
      <w:pPr>
        <w:pStyle w:val="ImageCaption"/>
      </w:pPr>
      <w:r>
        <w:t xml:space="preserve">Figure 1: Regions/states and transmission in the NEM. Source:</w:t>
      </w:r>
      <w:r>
        <w:t xml:space="preserve"> </w:t>
      </w:r>
      <w:r>
        <w:t xml:space="preserve">Australian Energy Market Commission (</w:t>
      </w:r>
      <w:hyperlink w:anchor="X520e518fc5bb21bb6fbac8c9ae07c1cca4e9089">
        <w:r>
          <w:rPr>
            <w:rStyle w:val="Hyperlink"/>
          </w:rPr>
          <w:t xml:space="preserve">n.d.</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54"/>
    <w:bookmarkStart w:id="57" w:name="fcas-markets"/>
    <w:p>
      <w:pPr>
        <w:pStyle w:val="Heading3"/>
      </w:pPr>
      <w:r>
        <w:rPr>
          <w:rStyle w:val="SectionNumber"/>
        </w:rPr>
        <w:t xml:space="preserve">5.6.2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1).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55"/>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bookmarkStart w:id="56" w:name="tbl:fcs-fcas"/>
    <w:p>
      <w:pPr>
        <w:pStyle w:val="TableCaption"/>
      </w:pPr>
      <w:r>
        <w:t xml:space="preserve">Table 1: 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p>
    <w:tbl>
      <w:tblPr>
        <w:tblStyle w:val="Table"/>
        <w:tblW w:type="pct" w:w="4939"/>
        <w:tblLook w:firstRow="1" w:lastRow="0" w:firstColumn="0" w:lastColumn="0" w:noHBand="0" w:noVBand="0" w:val="0020"/>
        <w:jc w:val="start"/>
        <w:tblCaption w:val="Table 1: 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56"/>
    <w:bookmarkEnd w:id="57"/>
    <w:bookmarkStart w:id="58" w:name="nem-operation-and-governance"/>
    <w:p>
      <w:pPr>
        <w:pStyle w:val="Heading3"/>
      </w:pPr>
      <w:r>
        <w:rPr>
          <w:rStyle w:val="SectionNumber"/>
        </w:rPr>
        <w:t xml:space="preserve">5.6.3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58"/>
    <w:bookmarkStart w:id="62" w:name="X4c3136b5df140be4f5dd258cbda0e36e1784f14"/>
    <w:p>
      <w:pPr>
        <w:pStyle w:val="Heading3"/>
      </w:pPr>
      <w:r>
        <w:rPr>
          <w:rStyle w:val="SectionNumber"/>
        </w:rPr>
        <w:t xml:space="preserve">5.6.4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2).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60" name="Picture"/>
            <a:graphic>
              <a:graphicData uri="http://schemas.openxmlformats.org/drawingml/2006/picture">
                <pic:pic>
                  <pic:nvPicPr>
                    <pic:cNvPr descr="source/figures/synchronous_ibr_entry_exit.eps" id="61" name="Picture"/>
                    <pic:cNvPicPr>
                      <a:picLocks noChangeArrowheads="1" noChangeAspect="1"/>
                    </pic:cNvPicPr>
                  </pic:nvPicPr>
                  <pic:blipFill>
                    <a:blip r:embed="rId59"/>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2: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2020d</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62"/>
    <w:bookmarkStart w:id="67" w:name="X1068bd62b33ed8d70ece9e995c937724b5ed630"/>
    <w:p>
      <w:pPr>
        <w:pStyle w:val="Heading3"/>
      </w:pPr>
      <w:r>
        <w:rPr>
          <w:rStyle w:val="SectionNumber"/>
        </w:rPr>
        <w:t xml:space="preserve">5.6.5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63" w:name="control-mechanisms"/>
    <w:p>
      <w:pPr>
        <w:pStyle w:val="Heading4"/>
      </w:pPr>
      <w:r>
        <w:rPr>
          <w:rStyle w:val="SectionNumber"/>
        </w:rPr>
        <w:t xml:space="preserve">5.6.5.1</w:t>
      </w:r>
      <w:r>
        <w:tab/>
      </w:r>
      <w:r>
        <w:t xml:space="preserve">Control mechanisms:</w:t>
      </w:r>
    </w:p>
    <w:p>
      <w:pPr>
        <w:numPr>
          <w:ilvl w:val="0"/>
          <w:numId w:val="100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0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3.8.</w:t>
      </w:r>
    </w:p>
    <w:p>
      <w:pPr>
        <w:numPr>
          <w:ilvl w:val="0"/>
          <w:numId w:val="100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3.9.</w:t>
      </w:r>
    </w:p>
    <w:bookmarkEnd w:id="63"/>
    <w:bookmarkStart w:id="64" w:name="market-based-mechanisms"/>
    <w:p>
      <w:pPr>
        <w:pStyle w:val="Heading4"/>
      </w:pPr>
      <w:r>
        <w:rPr>
          <w:rStyle w:val="SectionNumber"/>
        </w:rPr>
        <w:t xml:space="preserve">5.6.5.2</w:t>
      </w:r>
      <w:r>
        <w:tab/>
      </w:r>
      <w:r>
        <w:t xml:space="preserve">Market-based mechanisms:</w:t>
      </w:r>
    </w:p>
    <w:p>
      <w:pPr>
        <w:numPr>
          <w:ilvl w:val="0"/>
          <w:numId w:val="100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2020e</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0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Chapter 3.9.</w:t>
      </w:r>
    </w:p>
    <w:p>
      <w:pPr>
        <w:numPr>
          <w:ilvl w:val="0"/>
          <w:numId w:val="100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64"/>
    <w:bookmarkStart w:id="66" w:name="regulatory-mechanisms"/>
    <w:p>
      <w:pPr>
        <w:pStyle w:val="Heading4"/>
      </w:pPr>
      <w:r>
        <w:rPr>
          <w:rStyle w:val="SectionNumber"/>
        </w:rPr>
        <w:t xml:space="preserve">5.6.5.3</w:t>
      </w:r>
      <w:r>
        <w:tab/>
      </w:r>
      <w:r>
        <w:t xml:space="preserve">Regulatory mechanisms:</w:t>
      </w:r>
    </w:p>
    <w:p>
      <w:pPr>
        <w:numPr>
          <w:ilvl w:val="0"/>
          <w:numId w:val="100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65"/>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0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2020g</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66"/>
    <w:bookmarkEnd w:id="67"/>
    <w:bookmarkEnd w:id="68"/>
    <w:bookmarkStart w:id="69" w:name="sec:fcs-insights"/>
    <w:p>
      <w:pPr>
        <w:pStyle w:val="Heading2"/>
      </w:pPr>
      <w:r>
        <w:rPr>
          <w:rStyle w:val="SectionNumber"/>
        </w:rPr>
        <w:t xml:space="preserve">5.7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69"/>
    <w:bookmarkStart w:id="74" w:name="sec:fcs-pfr"/>
    <w:p>
      <w:pPr>
        <w:pStyle w:val="Heading2"/>
      </w:pPr>
      <w:r>
        <w:rPr>
          <w:rStyle w:val="SectionNumber"/>
        </w:rPr>
        <w:t xml:space="preserve">5.8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3.9)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3). Wind and solar farms were either unresponsive, tripped due to protection settings in their inverters, or reduced their active power output in line with performance standards negotiated in their connection agreements (middle and bottom frames in Figure 3).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70"/>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72" name="Picture"/>
            <a:graphic>
              <a:graphicData uri="http://schemas.openxmlformats.org/drawingml/2006/picture">
                <pic:pic>
                  <pic:nvPicPr>
                    <pic:cNvPr descr="source/figures/all_responses_25082018.eps" id="73" name="Picture"/>
                    <pic:cNvPicPr>
                      <a:picLocks noChangeArrowheads="1" noChangeAspect="1"/>
                    </pic:cNvPicPr>
                  </pic:nvPicPr>
                  <pic:blipFill>
                    <a:blip r:embed="rId7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2020i</w:t>
        </w:r>
      </w:hyperlink>
      <w:r>
        <w:t xml:space="preserve">)</w:t>
      </w:r>
      <w:r>
        <w:t xml:space="preserve">.</w:t>
      </w:r>
    </w:p>
    <w:bookmarkEnd w:id="74"/>
    <w:bookmarkStart w:id="78" w:name="sec:fcs-regulation"/>
    <w:p>
      <w:pPr>
        <w:pStyle w:val="Heading2"/>
      </w:pPr>
      <w:r>
        <w:rPr>
          <w:rStyle w:val="SectionNumber"/>
        </w:rPr>
        <w:t xml:space="preserve">5.9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07"/>
        </w:numPr>
        <w:pStyle w:val="Compact"/>
      </w:pPr>
      <w:r>
        <w:t xml:space="preserve">A lack of fast and decentralised tight-deadband PFR supporting slower SFR;</w:t>
      </w:r>
    </w:p>
    <w:p>
      <w:pPr>
        <w:numPr>
          <w:ilvl w:val="0"/>
          <w:numId w:val="100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0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4).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76" name="Picture"/>
            <a:graphic>
              <a:graphicData uri="http://schemas.openxmlformats.org/drawingml/2006/picture">
                <pic:pic>
                  <pic:nvPicPr>
                    <pic:cNvPr descr="source/figures/regional_SCADA_frequencies.eps" id="77" name="Picture"/>
                    <pic:cNvPicPr>
                      <a:picLocks noChangeArrowheads="1" noChangeAspect="1"/>
                    </pic:cNvPicPr>
                  </pic:nvPicPr>
                  <pic:blipFill>
                    <a:blip r:embed="rId75"/>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4: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78"/>
    <w:bookmarkStart w:id="90" w:name="nem-assessment-and-outlook"/>
    <w:p>
      <w:pPr>
        <w:pStyle w:val="Heading2"/>
      </w:pPr>
      <w:r>
        <w:rPr>
          <w:rStyle w:val="SectionNumber"/>
        </w:rPr>
        <w:t xml:space="preserve">5.10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5).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80" name="Picture"/>
            <a:graphic>
              <a:graphicData uri="http://schemas.openxmlformats.org/drawingml/2006/picture">
                <pic:pic>
                  <pic:nvPicPr>
                    <pic:cNvPr descr="source/figures/energy_raise_fcas_vwap_quarterly_2014_2020_v2.png" id="81" name="Picture"/>
                    <pic:cNvPicPr>
                      <a:picLocks noChangeArrowheads="1" noChangeAspect="1"/>
                    </pic:cNvPicPr>
                  </pic:nvPicPr>
                  <pic:blipFill>
                    <a:blip r:embed="rId79"/>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5: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6),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83" name="Picture"/>
            <a:graphic>
              <a:graphicData uri="http://schemas.openxmlformats.org/drawingml/2006/picture">
                <pic:pic>
                  <pic:nvPicPr>
                    <pic:cNvPr descr="source/figures/nem_nofb_frequency_2005_2018_digitised.eps" id="84" name="Picture"/>
                    <pic:cNvPicPr>
                      <a:picLocks noChangeArrowheads="1" noChangeAspect="1"/>
                    </pic:cNvPicPr>
                  </pic:nvPicPr>
                  <pic:blipFill>
                    <a:blip r:embed="rId82"/>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6: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85"/>
      </w:r>
      <w:r>
        <w:t xml:space="preserve"> </w:t>
      </w:r>
      <w:r>
        <w:t xml:space="preserve">suggests that mandatory PFR has delivered better control of frequency within the NOFB (see Figure 7)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87" name="Picture"/>
            <a:graphic>
              <a:graphicData uri="http://schemas.openxmlformats.org/drawingml/2006/picture">
                <pic:pic>
                  <pic:nvPicPr>
                    <pic:cNvPr descr="source/figures/f_stddev_2009_2021.png" id="88" name="Picture"/>
                    <pic:cNvPicPr>
                      <a:picLocks noChangeArrowheads="1" noChangeAspect="1"/>
                    </pic:cNvPicPr>
                  </pic:nvPicPr>
                  <pic:blipFill>
                    <a:blip r:embed="rId86"/>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7: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2020d</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08"/>
        </w:numPr>
        <w:pStyle w:val="Compact"/>
      </w:pPr>
      <w:r>
        <w:t xml:space="preserve">Procure contingency FCAS volumes based on system inertia;</w:t>
      </w:r>
    </w:p>
    <w:p>
      <w:pPr>
        <w:numPr>
          <w:ilvl w:val="0"/>
          <w:numId w:val="1008"/>
        </w:numPr>
        <w:pStyle w:val="Compact"/>
      </w:pPr>
      <w:r>
        <w:t xml:space="preserve">Apply regional contingency and regulation FCAS requirements; and</w:t>
      </w:r>
    </w:p>
    <w:p>
      <w:pPr>
        <w:numPr>
          <w:ilvl w:val="0"/>
          <w:numId w:val="100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2020c</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w:t>
        </w:r>
      </w:hyperlink>
      <w:r>
        <w:t xml:space="preserve">)</w:t>
      </w:r>
      <w:r>
        <w:t xml:space="preserve">, will likely improve AEMO’s operational toolbox for managing a low-inertia NEM.</w:t>
      </w:r>
    </w:p>
    <w:bookmarkStart w:id="89" w:name="reactive-regulatory-requirements"/>
    <w:p>
      <w:pPr>
        <w:pStyle w:val="Heading3"/>
      </w:pPr>
      <w:r>
        <w:rPr>
          <w:rStyle w:val="SectionNumber"/>
        </w:rPr>
        <w:t xml:space="preserve">5.10.1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89"/>
    <w:bookmarkEnd w:id="90"/>
    <w:bookmarkStart w:id="91" w:name="preference-for-market-based-arrangements"/>
    <w:p>
      <w:pPr>
        <w:pStyle w:val="Heading2"/>
      </w:pPr>
      <w:r>
        <w:rPr>
          <w:rStyle w:val="SectionNumber"/>
        </w:rPr>
        <w:t xml:space="preserve">5.11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6c60a147e49364a37325ec3c8c342d718257c70">
        <w:r>
          <w:rPr>
            <w:rStyle w:val="Hyperlink"/>
          </w:rPr>
          <w:t xml:space="preserve">2020</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[-Chapter 3.4),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2020j</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2020e</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3.5.2,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w:t>
        </w:r>
      </w:hyperlink>
      <w:r>
        <w:t xml:space="preserve">)</w:t>
      </w:r>
      <w:r>
        <w:t xml:space="preserve">. However, the shape of these system demand curves and how they account for interdependent or interchangeable FCAS will ultimately dictate their success.</w:t>
      </w:r>
    </w:p>
    <w:bookmarkEnd w:id="91"/>
    <w:bookmarkStart w:id="92" w:name="conclusion-1"/>
    <w:p>
      <w:pPr>
        <w:pStyle w:val="Heading2"/>
      </w:pPr>
      <w:r>
        <w:rPr>
          <w:rStyle w:val="SectionNumber"/>
        </w:rPr>
        <w:t xml:space="preserve">5.12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0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0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0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0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92"/>
    <w:bookmarkEnd w:id="93"/>
    <w:bookmarkStart w:id="107" w:name="sec:second"/>
    <w:p>
      <w:pPr>
        <w:pStyle w:val="Heading1"/>
      </w:pPr>
      <w:r>
        <w:rPr>
          <w:rStyle w:val="SectionNumber"/>
        </w:rPr>
        <w:t xml:space="preserve">6</w:t>
      </w:r>
      <w:r>
        <w:tab/>
      </w:r>
      <w:r>
        <w:t xml:space="preserve">Research containing a figure</w:t>
      </w:r>
    </w:p>
    <w:bookmarkStart w:id="94" w:name="introduction-1"/>
    <w:p>
      <w:pPr>
        <w:pStyle w:val="Heading2"/>
      </w:pPr>
      <w:r>
        <w:rPr>
          <w:rStyle w:val="SectionNumber"/>
        </w:rPr>
        <w:t xml:space="preserve">6.1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94"/>
    <w:bookmarkStart w:id="97" w:name="method"/>
    <w:p>
      <w:pPr>
        <w:pStyle w:val="Heading2"/>
      </w:pPr>
      <w:r>
        <w:rPr>
          <w:rStyle w:val="SectionNumber"/>
        </w:rPr>
        <w:t xml:space="preserve">6.2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95" w:name="subsection-1"/>
    <w:p>
      <w:pPr>
        <w:pStyle w:val="Heading3"/>
      </w:pPr>
      <w:r>
        <w:rPr>
          <w:rStyle w:val="SectionNumber"/>
        </w:rPr>
        <w:t xml:space="preserve">6.2.1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95"/>
    <w:bookmarkStart w:id="96" w:name="subsection-2"/>
    <w:p>
      <w:pPr>
        <w:pStyle w:val="Heading3"/>
      </w:pPr>
      <w:r>
        <w:rPr>
          <w:rStyle w:val="SectionNumber"/>
        </w:rPr>
        <w:t xml:space="preserve">6.2.2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96"/>
    <w:bookmarkEnd w:id="97"/>
    <w:bookmarkStart w:id="98" w:name="results"/>
    <w:p>
      <w:pPr>
        <w:pStyle w:val="Heading2"/>
      </w:pPr>
      <w:r>
        <w:rPr>
          <w:rStyle w:val="SectionNumber"/>
        </w:rPr>
        <w:t xml:space="preserve">6.3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98"/>
    <w:bookmarkStart w:id="102" w:name="discussion"/>
    <w:p>
      <w:pPr>
        <w:pStyle w:val="Heading2"/>
      </w:pPr>
      <w:r>
        <w:rPr>
          <w:rStyle w:val="SectionNumber"/>
        </w:rPr>
        <w:t xml:space="preserve">6.4</w:t>
      </w:r>
      <w:r>
        <w:tab/>
      </w:r>
      <w:r>
        <w:t xml:space="preserve">Discussion</w:t>
      </w:r>
    </w:p>
    <w:p>
      <w:pPr>
        <w:pStyle w:val="FirstParagraph"/>
      </w:pPr>
      <w:r>
        <w:t xml:space="preserve">Figure 8 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p>
      <w:pPr>
        <w:pStyle w:val="CaptionedFigure"/>
      </w:pPr>
      <w:r>
        <w:drawing>
          <wp:inline>
            <wp:extent cx="5334000" cy="6705600"/>
            <wp:effectExtent b="0" l="0" r="0" t="0"/>
            <wp:docPr descr="RV Calypso is a former British Royal Navy minesweeper converted into a research vessel for the oceanographic researcher Jacques-Yves Cousteau. It was equipped with a mobile laboratory for underwater field research." title="It's a boat" id="100" name="Picture"/>
            <a:graphic>
              <a:graphicData uri="http://schemas.openxmlformats.org/drawingml/2006/picture">
                <pic:pic>
                  <pic:nvPicPr>
                    <pic:cNvPr descr="source/figures/example_figure.pdf" id="101" name="Picture"/>
                    <pic:cNvPicPr>
                      <a:picLocks noChangeArrowheads="1" noChangeAspect="1"/>
                    </pic:cNvPicPr>
                  </pic:nvPicPr>
                  <pic:blipFill>
                    <a:blip r:embed="rId99"/>
                    <a:stretch>
                      <a:fillRect/>
                    </a:stretch>
                  </pic:blipFill>
                  <pic:spPr bwMode="auto">
                    <a:xfrm>
                      <a:off x="0" y="0"/>
                      <a:ext cx="5334000" cy="6705600"/>
                    </a:xfrm>
                    <a:prstGeom prst="rect">
                      <a:avLst/>
                    </a:prstGeom>
                    <a:noFill/>
                    <a:ln w="9525">
                      <a:noFill/>
                      <a:headEnd/>
                      <a:tailEnd/>
                    </a:ln>
                  </pic:spPr>
                </pic:pic>
              </a:graphicData>
            </a:graphic>
          </wp:inline>
        </w:drawing>
      </w:r>
    </w:p>
    <w:p>
      <w:pPr>
        <w:pStyle w:val="ImageCaption"/>
      </w:pPr>
      <w:r>
        <w:t xml:space="preserve">Figure 8: RV Calypso is a former British Royal Navy minesweeper converted into a research vessel for the oceanographic researcher Jacques-Yves Cousteau. It was equipped with a mobile laboratory for underwater field research.</w:t>
      </w:r>
    </w:p>
    <w:bookmarkEnd w:id="102"/>
    <w:bookmarkStart w:id="106" w:name="conclusion-2"/>
    <w:p>
      <w:pPr>
        <w:pStyle w:val="Heading2"/>
      </w:pPr>
      <w:r>
        <w:rPr>
          <w:rStyle w:val="SectionNumber"/>
        </w:rPr>
        <w:t xml:space="preserve">6.5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p>
      <w:pPr>
        <w:pStyle w:val="CaptionedFigure"/>
      </w:pPr>
      <w:r>
        <w:drawing>
          <wp:inline>
            <wp:extent cx="5334000" cy="5273174"/>
            <wp:effectExtent b="0" l="0" r="0" t="0"/>
            <wp:docPr descr="This is not a boat" title="" id="104" name="Picture"/>
            <a:graphic>
              <a:graphicData uri="http://schemas.openxmlformats.org/drawingml/2006/picture">
                <pic:pic>
                  <pic:nvPicPr>
                    <pic:cNvPr descr="source/figures/full_caption_example.jpg" id="105" name="Picture"/>
                    <pic:cNvPicPr>
                      <a:picLocks noChangeArrowheads="1" noChangeAspect="1"/>
                    </pic:cNvPicPr>
                  </pic:nvPicPr>
                  <pic:blipFill>
                    <a:blip r:embed="rId103"/>
                    <a:stretch>
                      <a:fillRect/>
                    </a:stretch>
                  </pic:blipFill>
                  <pic:spPr bwMode="auto">
                    <a:xfrm>
                      <a:off x="0" y="0"/>
                      <a:ext cx="5334000" cy="5273174"/>
                    </a:xfrm>
                    <a:prstGeom prst="rect">
                      <a:avLst/>
                    </a:prstGeom>
                    <a:noFill/>
                    <a:ln w="9525">
                      <a:noFill/>
                      <a:headEnd/>
                      <a:tailEnd/>
                    </a:ln>
                  </pic:spPr>
                </pic:pic>
              </a:graphicData>
            </a:graphic>
          </wp:inline>
        </w:drawing>
      </w:r>
    </w:p>
    <w:p>
      <w:pPr>
        <w:pStyle w:val="ImageCaption"/>
      </w:pPr>
      <w:r>
        <w:t xml:space="preserve">Figure 9: This is not a boat</w:t>
      </w:r>
    </w:p>
    <w:bookmarkEnd w:id="106"/>
    <w:bookmarkEnd w:id="107"/>
    <w:bookmarkStart w:id="116" w:name="sec:third"/>
    <w:p>
      <w:pPr>
        <w:pStyle w:val="Heading1"/>
      </w:pPr>
      <w:r>
        <w:rPr>
          <w:rStyle w:val="SectionNumber"/>
        </w:rPr>
        <w:t xml:space="preserve">7</w:t>
      </w:r>
      <w:r>
        <w:tab/>
      </w:r>
      <w:r>
        <w:t xml:space="preserve">Research containing a table</w:t>
      </w:r>
    </w:p>
    <w:bookmarkStart w:id="108" w:name="introduction-2"/>
    <w:p>
      <w:pPr>
        <w:pStyle w:val="Heading2"/>
      </w:pPr>
      <w:r>
        <w:rPr>
          <w:rStyle w:val="SectionNumber"/>
        </w:rPr>
        <w:t xml:space="preserve">7.1</w:t>
      </w:r>
      <w:r>
        <w:tab/>
      </w:r>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bookmarkEnd w:id="108"/>
    <w:bookmarkStart w:id="111" w:name="method-1"/>
    <w:p>
      <w:pPr>
        <w:pStyle w:val="Heading2"/>
      </w:pPr>
      <w:r>
        <w:rPr>
          <w:rStyle w:val="SectionNumber"/>
        </w:rPr>
        <w:t xml:space="preserve">7.2</w:t>
      </w:r>
      <w:r>
        <w:tab/>
      </w:r>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bookmarkStart w:id="109" w:name="subsection-1-1"/>
    <w:p>
      <w:pPr>
        <w:pStyle w:val="Heading3"/>
      </w:pPr>
      <w:r>
        <w:rPr>
          <w:rStyle w:val="SectionNumber"/>
        </w:rPr>
        <w:t xml:space="preserve">7.2.1</w:t>
      </w:r>
      <w:r>
        <w:tab/>
      </w:r>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bookmarkEnd w:id="109"/>
    <w:bookmarkStart w:id="110" w:name="subsection-2-1"/>
    <w:p>
      <w:pPr>
        <w:pStyle w:val="Heading3"/>
      </w:pPr>
      <w:r>
        <w:rPr>
          <w:rStyle w:val="SectionNumber"/>
        </w:rPr>
        <w:t xml:space="preserve">7.2.2</w:t>
      </w:r>
      <w:r>
        <w:tab/>
      </w:r>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bookmarkEnd w:id="110"/>
    <w:bookmarkEnd w:id="111"/>
    <w:bookmarkStart w:id="113" w:name="results-1"/>
    <w:p>
      <w:pPr>
        <w:pStyle w:val="Heading2"/>
      </w:pPr>
      <w:r>
        <w:rPr>
          <w:rStyle w:val="SectionNumber"/>
        </w:rPr>
        <w:t xml:space="preserve">7.3</w:t>
      </w:r>
      <w:r>
        <w:tab/>
      </w:r>
      <w:r>
        <w:t xml:space="preserve">Results</w:t>
      </w:r>
    </w:p>
    <w:p>
      <w:pPr>
        <w:pStyle w:val="FirstParagraph"/>
      </w:pPr>
      <w:r>
        <w:t xml:space="preserve">Table 2 shows us how to add a table. Integer tincidunt sed nisl eget pellentesque. Mauris eleifend, nisl non lobortis fringilla, sapien eros aliquet orci, vitae pretium massa neque eu turpis. Pellentesque tincidunt aliquet volutpat. Ut ornare dui id ex sodales laoreet.</w:t>
      </w:r>
    </w:p>
    <w:bookmarkStart w:id="112" w:name="tbl:random"/>
    <w:p>
      <w:pPr>
        <w:pStyle w:val="TableCaption"/>
      </w:pPr>
      <w:r>
        <w:t xml:space="preserve">Table 2: Important data for various land masses.</w:t>
      </w:r>
    </w:p>
    <w:tbl>
      <w:tblPr>
        <w:tblStyle w:val="Table"/>
        <w:tblW w:type="pct" w:w="5000"/>
        <w:tblLook w:firstRow="1" w:lastRow="0" w:firstColumn="0" w:lastColumn="0" w:noHBand="0" w:noVBand="0" w:val="0020"/>
        <w:jc w:val="start"/>
        <w:tblCaption w:val="Table 2: Important data for various land masses."/>
      </w:tblPr>
      <w:tblGrid>
        <w:gridCol w:w="1211"/>
        <w:gridCol w:w="745"/>
        <w:gridCol w:w="931"/>
        <w:gridCol w:w="1397"/>
        <w:gridCol w:w="1211"/>
        <w:gridCol w:w="1211"/>
        <w:gridCol w:w="1211"/>
      </w:tblGrid>
      <w:tr>
        <w:trPr>
          <w:tblHeader w:val="true"/>
        </w:trPr>
        <w:tc>
          <w:tcPr/>
          <w:p>
            <w:pPr>
              <w:pStyle w:val="Compact"/>
              <w:jc w:val="left"/>
            </w:pPr>
            <w:r>
              <w:t xml:space="preserve">Landmass</w:t>
            </w:r>
          </w:p>
        </w:tc>
        <w:tc>
          <w:tcPr/>
          <w:p>
            <w:pPr>
              <w:pStyle w:val="Compact"/>
              <w:jc w:val="center"/>
            </w:pPr>
            <w:r>
              <w:t xml:space="preserve">%</w:t>
            </w:r>
            <w:r>
              <w:t xml:space="preserve"> </w:t>
            </w:r>
            <w:r>
              <w:t xml:space="preserve">stuff</w:t>
            </w:r>
          </w:p>
        </w:tc>
        <w:tc>
          <w:tcPr/>
          <w:p>
            <w:pPr>
              <w:pStyle w:val="Compact"/>
              <w:jc w:val="center"/>
            </w:pPr>
            <w:r>
              <w:t xml:space="preserve">Number of</w:t>
            </w:r>
            <w:r>
              <w:t xml:space="preserve"> </w:t>
            </w:r>
            <w:r>
              <w:t xml:space="preserve">Owls</w:t>
            </w:r>
          </w:p>
        </w:tc>
        <w:tc>
          <w:tcPr/>
          <w:p>
            <w:pPr>
              <w:pStyle w:val="Compact"/>
              <w:jc w:val="center"/>
            </w:pPr>
            <w:r>
              <w:t xml:space="preserve">Dolphins per</w:t>
            </w:r>
            <w:r>
              <w:t xml:space="preserve"> </w:t>
            </w:r>
            <w:r>
              <w:t xml:space="preserve">Capita</w:t>
            </w:r>
          </w:p>
        </w:tc>
        <w:tc>
          <w:tcPr/>
          <w:p>
            <w:pPr>
              <w:pStyle w:val="Compact"/>
              <w:jc w:val="center"/>
            </w:pPr>
            <w:r>
              <w:t xml:space="preserve">How Many</w:t>
            </w:r>
            <w:r>
              <w:t xml:space="preserve"> </w:t>
            </w:r>
            <w:r>
              <w:t xml:space="preserve">Foos</w:t>
            </w:r>
          </w:p>
        </w:tc>
        <w:tc>
          <w:tcPr/>
          <w:p>
            <w:pPr>
              <w:pStyle w:val="Compact"/>
              <w:jc w:val="center"/>
            </w:pPr>
            <w:r>
              <w:t xml:space="preserve">How Many</w:t>
            </w:r>
            <w:r>
              <w:t xml:space="preserve"> </w:t>
            </w:r>
            <w:r>
              <w:t xml:space="preserve">Bars</w:t>
            </w:r>
          </w:p>
        </w:tc>
        <w:tc>
          <w:tcPr/>
          <w:p>
            <w:pPr>
              <w:pStyle w:val="Compact"/>
              <w:jc w:val="center"/>
            </w:pPr>
            <w:r>
              <w:t xml:space="preserve">Forbidden</w:t>
            </w:r>
            <w:r>
              <w:t xml:space="preserve"> </w:t>
            </w:r>
            <w:r>
              <w:t xml:space="preserve">Float</w:t>
            </w:r>
          </w:p>
        </w:tc>
      </w:tr>
      <w:tr>
        <w:tc>
          <w:tcPr/>
          <w:p>
            <w:pPr>
              <w:pStyle w:val="Compact"/>
              <w:jc w:val="left"/>
            </w:pPr>
            <w:r>
              <w:t xml:space="preserve">North</w:t>
            </w:r>
            <w:r>
              <w:t xml:space="preserve"> </w:t>
            </w:r>
            <w:r>
              <w:t xml:space="preserve">America</w:t>
            </w:r>
          </w:p>
        </w:tc>
        <w:tc>
          <w:tcPr/>
          <w:p>
            <w:pPr>
              <w:pStyle w:val="Compact"/>
              <w:jc w:val="center"/>
            </w:pPr>
            <w:r>
              <w:t xml:space="preserve">94%</w:t>
            </w:r>
          </w:p>
        </w:tc>
        <w:tc>
          <w:tcPr/>
          <w:p>
            <w:pPr>
              <w:pStyle w:val="Compact"/>
              <w:jc w:val="center"/>
            </w:pPr>
            <w:r>
              <w:t xml:space="preserve">20,028</w:t>
            </w:r>
          </w:p>
        </w:tc>
        <w:tc>
          <w:tcPr/>
          <w:p>
            <w:pPr>
              <w:pStyle w:val="Compact"/>
              <w:jc w:val="center"/>
            </w:pPr>
            <w:r>
              <w:t xml:space="preserve">17,465</w:t>
            </w:r>
          </w:p>
        </w:tc>
        <w:tc>
          <w:tcPr/>
          <w:p>
            <w:pPr>
              <w:pStyle w:val="Compact"/>
              <w:jc w:val="center"/>
            </w:pPr>
            <w:r>
              <w:t xml:space="preserve">12,084</w:t>
            </w:r>
          </w:p>
        </w:tc>
        <w:tc>
          <w:tcPr/>
          <w:p>
            <w:pPr>
              <w:pStyle w:val="Compact"/>
              <w:jc w:val="center"/>
            </w:pPr>
            <w:r>
              <w:t xml:space="preserve">20,659</w:t>
            </w:r>
          </w:p>
        </w:tc>
        <w:tc>
          <w:tcPr/>
          <w:p>
            <w:pPr>
              <w:pStyle w:val="Compact"/>
              <w:jc w:val="center"/>
            </w:pPr>
            <w:r>
              <w:t xml:space="preserve">1.71</w:t>
            </w:r>
          </w:p>
        </w:tc>
      </w:tr>
      <w:tr>
        <w:tc>
          <w:tcPr/>
          <w:p>
            <w:pPr>
              <w:pStyle w:val="Compact"/>
              <w:jc w:val="left"/>
            </w:pPr>
            <w:r>
              <w:t xml:space="preserve">Central</w:t>
            </w:r>
            <w:r>
              <w:t xml:space="preserve"> </w:t>
            </w:r>
            <w:r>
              <w:t xml:space="preserve">America</w:t>
            </w:r>
          </w:p>
        </w:tc>
        <w:tc>
          <w:tcPr/>
          <w:p>
            <w:pPr>
              <w:pStyle w:val="Compact"/>
              <w:jc w:val="center"/>
            </w:pPr>
            <w:r>
              <w:t xml:space="preserve">91%</w:t>
            </w:r>
          </w:p>
        </w:tc>
        <w:tc>
          <w:tcPr/>
          <w:p>
            <w:pPr>
              <w:pStyle w:val="Compact"/>
              <w:jc w:val="center"/>
            </w:pPr>
            <w:r>
              <w:t xml:space="preserve">6564</w:t>
            </w:r>
          </w:p>
        </w:tc>
        <w:tc>
          <w:tcPr/>
          <w:p>
            <w:pPr>
              <w:pStyle w:val="Compact"/>
              <w:jc w:val="center"/>
            </w:pPr>
            <w:r>
              <w:t xml:space="preserve">6350</w:t>
            </w:r>
          </w:p>
        </w:tc>
        <w:tc>
          <w:tcPr/>
          <w:p>
            <w:pPr>
              <w:pStyle w:val="Compact"/>
              <w:jc w:val="center"/>
            </w:pPr>
            <w:r>
              <w:t xml:space="preserve">8,189</w:t>
            </w:r>
          </w:p>
        </w:tc>
        <w:tc>
          <w:tcPr/>
          <w:p>
            <w:pPr>
              <w:pStyle w:val="Compact"/>
              <w:jc w:val="center"/>
            </w:pPr>
            <w:r>
              <w:t xml:space="preserve">12,012</w:t>
            </w:r>
          </w:p>
        </w:tc>
        <w:tc>
          <w:tcPr/>
          <w:p>
            <w:pPr>
              <w:pStyle w:val="Compact"/>
              <w:jc w:val="center"/>
            </w:pPr>
            <w:r>
              <w:t xml:space="preserve">1.52</w:t>
            </w:r>
          </w:p>
        </w:tc>
      </w:tr>
      <w:tr>
        <w:tc>
          <w:tcPr/>
          <w:p>
            <w:pPr>
              <w:pStyle w:val="Compact"/>
              <w:jc w:val="left"/>
            </w:pPr>
            <w:r>
              <w:t xml:space="preserve">South</w:t>
            </w:r>
            <w:r>
              <w:t xml:space="preserve"> </w:t>
            </w:r>
            <w:r>
              <w:t xml:space="preserve">America</w:t>
            </w:r>
          </w:p>
        </w:tc>
        <w:tc>
          <w:tcPr/>
          <w:p>
            <w:pPr>
              <w:pStyle w:val="Compact"/>
              <w:jc w:val="center"/>
            </w:pPr>
            <w:r>
              <w:t xml:space="preserve">86%</w:t>
            </w:r>
          </w:p>
        </w:tc>
        <w:tc>
          <w:tcPr/>
          <w:p>
            <w:pPr>
              <w:pStyle w:val="Compact"/>
              <w:jc w:val="center"/>
            </w:pPr>
            <w:r>
              <w:t xml:space="preserve">3902</w:t>
            </w:r>
          </w:p>
        </w:tc>
        <w:tc>
          <w:tcPr/>
          <w:p>
            <w:pPr>
              <w:pStyle w:val="Compact"/>
              <w:jc w:val="center"/>
            </w:pPr>
            <w:r>
              <w:t xml:space="preserve">4127</w:t>
            </w:r>
          </w:p>
        </w:tc>
        <w:tc>
          <w:tcPr/>
          <w:p>
            <w:pPr>
              <w:pStyle w:val="Compact"/>
              <w:jc w:val="center"/>
            </w:pPr>
            <w:r>
              <w:t xml:space="preserve">5,205</w:t>
            </w:r>
          </w:p>
        </w:tc>
        <w:tc>
          <w:tcPr/>
          <w:p>
            <w:pPr>
              <w:pStyle w:val="Compact"/>
              <w:jc w:val="center"/>
            </w:pPr>
            <w:r>
              <w:t xml:space="preserve">6,565</w:t>
            </w:r>
          </w:p>
        </w:tc>
        <w:tc>
          <w:tcPr/>
          <w:p>
            <w:pPr>
              <w:pStyle w:val="Compact"/>
              <w:jc w:val="center"/>
            </w:pPr>
            <w:r>
              <w:t xml:space="preserve">1.28</w:t>
            </w:r>
          </w:p>
        </w:tc>
      </w:tr>
      <w:tr>
        <w:tc>
          <w:tcPr/>
          <w:p>
            <w:pPr>
              <w:pStyle w:val="Compact"/>
              <w:jc w:val="left"/>
            </w:pPr>
            <w:r>
              <w:t xml:space="preserve">Africa</w:t>
            </w:r>
          </w:p>
        </w:tc>
        <w:tc>
          <w:tcPr/>
          <w:p>
            <w:pPr>
              <w:pStyle w:val="Compact"/>
              <w:jc w:val="center"/>
            </w:pPr>
            <w:r>
              <w:t xml:space="preserve">84%</w:t>
            </w:r>
          </w:p>
        </w:tc>
        <w:tc>
          <w:tcPr/>
          <w:p>
            <w:pPr>
              <w:pStyle w:val="Compact"/>
              <w:jc w:val="center"/>
            </w:pPr>
            <w:r>
              <w:t xml:space="preserve">2892</w:t>
            </w:r>
          </w:p>
        </w:tc>
        <w:tc>
          <w:tcPr/>
          <w:p>
            <w:pPr>
              <w:pStyle w:val="Compact"/>
              <w:jc w:val="center"/>
            </w:pPr>
            <w:r>
              <w:t xml:space="preserve">3175</w:t>
            </w:r>
          </w:p>
        </w:tc>
        <w:tc>
          <w:tcPr/>
          <w:p>
            <w:pPr>
              <w:pStyle w:val="Compact"/>
              <w:jc w:val="center"/>
            </w:pPr>
            <w:r>
              <w:t xml:space="preserve">3,862</w:t>
            </w:r>
          </w:p>
        </w:tc>
        <w:tc>
          <w:tcPr/>
          <w:p>
            <w:pPr>
              <w:pStyle w:val="Compact"/>
              <w:jc w:val="center"/>
            </w:pPr>
            <w:r>
              <w:t xml:space="preserve">4,248</w:t>
            </w:r>
          </w:p>
        </w:tc>
        <w:tc>
          <w:tcPr/>
          <w:p>
            <w:pPr>
              <w:pStyle w:val="Compact"/>
              <w:jc w:val="center"/>
            </w:pPr>
            <w:r>
              <w:t xml:space="preserve">1.1</w:t>
            </w:r>
          </w:p>
        </w:tc>
      </w:tr>
      <w:tr>
        <w:tc>
          <w:tcPr/>
          <w:p>
            <w:pPr>
              <w:pStyle w:val="Compact"/>
              <w:jc w:val="left"/>
            </w:pPr>
            <w:r>
              <w:t xml:space="preserve">Europe</w:t>
            </w:r>
          </w:p>
        </w:tc>
        <w:tc>
          <w:tcPr/>
          <w:p>
            <w:pPr>
              <w:pStyle w:val="Compact"/>
              <w:jc w:val="center"/>
            </w:pPr>
            <w:r>
              <w:t xml:space="preserve">92%</w:t>
            </w:r>
          </w:p>
        </w:tc>
        <w:tc>
          <w:tcPr/>
          <w:p>
            <w:pPr>
              <w:pStyle w:val="Compact"/>
              <w:jc w:val="center"/>
            </w:pPr>
            <w:r>
              <w:t xml:space="preserve">20,964</w:t>
            </w:r>
          </w:p>
        </w:tc>
        <w:tc>
          <w:tcPr/>
          <w:p>
            <w:pPr>
              <w:pStyle w:val="Compact"/>
              <w:jc w:val="center"/>
            </w:pPr>
            <w:r>
              <w:t xml:space="preserve">17,465</w:t>
            </w:r>
          </w:p>
        </w:tc>
        <w:tc>
          <w:tcPr/>
          <w:p>
            <w:pPr>
              <w:pStyle w:val="Compact"/>
              <w:jc w:val="center"/>
            </w:pPr>
            <w:r>
              <w:t xml:space="preserve">15,303</w:t>
            </w:r>
          </w:p>
        </w:tc>
        <w:tc>
          <w:tcPr/>
          <w:p>
            <w:pPr>
              <w:pStyle w:val="Compact"/>
              <w:jc w:val="center"/>
            </w:pPr>
            <w:r>
              <w:t xml:space="preserve">24,203</w:t>
            </w:r>
          </w:p>
        </w:tc>
        <w:tc>
          <w:tcPr/>
          <w:p>
            <w:pPr>
              <w:pStyle w:val="Compact"/>
              <w:jc w:val="center"/>
            </w:pPr>
            <w:r>
              <w:t xml:space="preserve">1.58</w:t>
            </w:r>
          </w:p>
        </w:tc>
      </w:tr>
      <w:tr>
        <w:tc>
          <w:tcPr/>
          <w:p>
            <w:pPr>
              <w:pStyle w:val="Compact"/>
              <w:jc w:val="left"/>
            </w:pPr>
            <w:r>
              <w:t xml:space="preserve">Asia</w:t>
            </w:r>
          </w:p>
        </w:tc>
        <w:tc>
          <w:tcPr/>
          <w:p>
            <w:pPr>
              <w:pStyle w:val="Compact"/>
              <w:jc w:val="center"/>
            </w:pPr>
            <w:r>
              <w:t xml:space="preserve">87%</w:t>
            </w:r>
          </w:p>
        </w:tc>
        <w:tc>
          <w:tcPr/>
          <w:p>
            <w:pPr>
              <w:pStyle w:val="Compact"/>
              <w:jc w:val="center"/>
            </w:pPr>
            <w:r>
              <w:t xml:space="preserve">6852</w:t>
            </w:r>
          </w:p>
        </w:tc>
        <w:tc>
          <w:tcPr/>
          <w:p>
            <w:pPr>
              <w:pStyle w:val="Compact"/>
              <w:jc w:val="center"/>
            </w:pPr>
            <w:r>
              <w:t xml:space="preserve">6350</w:t>
            </w:r>
          </w:p>
        </w:tc>
        <w:tc>
          <w:tcPr/>
          <w:p>
            <w:pPr>
              <w:pStyle w:val="Compact"/>
              <w:jc w:val="center"/>
            </w:pPr>
            <w:r>
              <w:t xml:space="preserve">8,255</w:t>
            </w:r>
          </w:p>
        </w:tc>
        <w:tc>
          <w:tcPr/>
          <w:p>
            <w:pPr>
              <w:pStyle w:val="Compact"/>
              <w:jc w:val="center"/>
            </w:pPr>
            <w:r>
              <w:t xml:space="preserve">11,688</w:t>
            </w:r>
          </w:p>
        </w:tc>
        <w:tc>
          <w:tcPr/>
          <w:p>
            <w:pPr>
              <w:pStyle w:val="Compact"/>
              <w:jc w:val="center"/>
            </w:pPr>
            <w:r>
              <w:t xml:space="preserve">1.47</w:t>
            </w:r>
          </w:p>
        </w:tc>
      </w:tr>
      <w:tr>
        <w:tc>
          <w:tcPr/>
          <w:p>
            <w:pPr>
              <w:pStyle w:val="Compact"/>
              <w:jc w:val="left"/>
            </w:pPr>
            <w:r>
              <w:t xml:space="preserve">Oceania</w:t>
            </w:r>
          </w:p>
        </w:tc>
        <w:tc>
          <w:tcPr/>
          <w:p>
            <w:pPr>
              <w:pStyle w:val="Compact"/>
              <w:jc w:val="center"/>
            </w:pPr>
            <w:r>
              <w:t xml:space="preserve">87%</w:t>
            </w:r>
          </w:p>
        </w:tc>
        <w:tc>
          <w:tcPr/>
          <w:p>
            <w:pPr>
              <w:pStyle w:val="Compact"/>
              <w:jc w:val="center"/>
            </w:pPr>
            <w:r>
              <w:t xml:space="preserve">4044</w:t>
            </w:r>
          </w:p>
        </w:tc>
        <w:tc>
          <w:tcPr/>
          <w:p>
            <w:pPr>
              <w:pStyle w:val="Compact"/>
              <w:jc w:val="center"/>
            </w:pPr>
            <w:r>
              <w:t xml:space="preserve">4127</w:t>
            </w:r>
          </w:p>
        </w:tc>
        <w:tc>
          <w:tcPr/>
          <w:p>
            <w:pPr>
              <w:pStyle w:val="Compact"/>
              <w:jc w:val="center"/>
            </w:pPr>
            <w:r>
              <w:t xml:space="preserve">5,540</w:t>
            </w:r>
          </w:p>
        </w:tc>
        <w:tc>
          <w:tcPr/>
          <w:p>
            <w:pPr>
              <w:pStyle w:val="Compact"/>
              <w:jc w:val="center"/>
            </w:pPr>
            <w:r>
              <w:t xml:space="preserve">6,972</w:t>
            </w:r>
          </w:p>
        </w:tc>
        <w:tc>
          <w:tcPr/>
          <w:p>
            <w:pPr>
              <w:pStyle w:val="Compact"/>
              <w:jc w:val="center"/>
            </w:pPr>
            <w:r>
              <w:t xml:space="preserve">1.28</w:t>
            </w:r>
          </w:p>
        </w:tc>
      </w:tr>
      <w:tr>
        <w:tc>
          <w:tcPr/>
          <w:p>
            <w:pPr>
              <w:pStyle w:val="Compact"/>
              <w:jc w:val="left"/>
            </w:pPr>
            <w:r>
              <w:t xml:space="preserve">Antarctica</w:t>
            </w:r>
          </w:p>
        </w:tc>
        <w:tc>
          <w:tcPr/>
          <w:p>
            <w:pPr>
              <w:pStyle w:val="Compact"/>
              <w:jc w:val="center"/>
            </w:pPr>
            <w:r>
              <w:t xml:space="preserve">83%</w:t>
            </w:r>
          </w:p>
        </w:tc>
        <w:tc>
          <w:tcPr/>
          <w:p>
            <w:pPr>
              <w:pStyle w:val="Compact"/>
              <w:jc w:val="center"/>
            </w:pPr>
            <w:r>
              <w:t xml:space="preserve">2964</w:t>
            </w:r>
          </w:p>
        </w:tc>
        <w:tc>
          <w:tcPr/>
          <w:p>
            <w:pPr>
              <w:pStyle w:val="Compact"/>
              <w:jc w:val="center"/>
            </w:pPr>
            <w:r>
              <w:t xml:space="preserve">3175</w:t>
            </w:r>
          </w:p>
        </w:tc>
        <w:tc>
          <w:tcPr/>
          <w:p>
            <w:pPr>
              <w:pStyle w:val="Compact"/>
              <w:jc w:val="center"/>
            </w:pPr>
            <w:r>
              <w:t xml:space="preserve">4,402</w:t>
            </w:r>
          </w:p>
        </w:tc>
        <w:tc>
          <w:tcPr/>
          <w:p>
            <w:pPr>
              <w:pStyle w:val="Compact"/>
              <w:jc w:val="center"/>
            </w:pPr>
            <w:r>
              <w:t xml:space="preserve">4,941</w:t>
            </w:r>
          </w:p>
        </w:tc>
        <w:tc>
          <w:tcPr/>
          <w:p>
            <w:pPr>
              <w:pStyle w:val="Compact"/>
              <w:jc w:val="center"/>
            </w:pPr>
            <w:r>
              <w:t xml:space="preserve">1.13</w:t>
            </w:r>
          </w:p>
        </w:tc>
      </w:tr>
    </w:tbl>
    <w:bookmarkEnd w:id="112"/>
    <w:bookmarkEnd w:id="113"/>
    <w:bookmarkStart w:id="114" w:name="discussion-1"/>
    <w:p>
      <w:pPr>
        <w:pStyle w:val="Heading2"/>
      </w:pPr>
      <w:r>
        <w:rPr>
          <w:rStyle w:val="SectionNumber"/>
        </w:rPr>
        <w:t xml:space="preserve">7.4</w:t>
      </w:r>
      <w:r>
        <w:tab/>
      </w:r>
      <w:r>
        <w:t xml:space="preserve">Discussion</w:t>
      </w:r>
    </w:p>
    <w:p>
      <w:pPr>
        <w:pStyle w:val="FirstParagraph"/>
      </w:pPr>
      <w:r>
        <w:t xml:space="preserve">This is the discussion. As we saw in Table Table 2,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bookmarkEnd w:id="114"/>
    <w:bookmarkStart w:id="115" w:name="conclusion-3"/>
    <w:p>
      <w:pPr>
        <w:pStyle w:val="Heading2"/>
      </w:pPr>
      <w:r>
        <w:rPr>
          <w:rStyle w:val="SectionNumber"/>
        </w:rPr>
        <w:t xml:space="preserve">7.5</w:t>
      </w:r>
      <w:r>
        <w:tab/>
      </w:r>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bookmarkEnd w:id="115"/>
    <w:bookmarkEnd w:id="116"/>
    <w:bookmarkStart w:id="124" w:name="sec:fourth"/>
    <w:p>
      <w:pPr>
        <w:pStyle w:val="Heading1"/>
      </w:pPr>
      <w:r>
        <w:rPr>
          <w:rStyle w:val="SectionNumber"/>
        </w:rPr>
        <w:t xml:space="preserve">8</w:t>
      </w:r>
      <w:r>
        <w:tab/>
      </w:r>
      <w:r>
        <w:t xml:space="preserve">Final research study</w:t>
      </w:r>
    </w:p>
    <w:bookmarkStart w:id="117" w:name="introduction-3"/>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117"/>
    <w:bookmarkStart w:id="120" w:name="method-2"/>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Start w:id="118" w:name="subsection-1-2"/>
    <w:p>
      <w:pPr>
        <w:pStyle w:val="Heading3"/>
      </w:pPr>
      <w:r>
        <w:rPr>
          <w:rStyle w:val="SectionNumber"/>
        </w:rPr>
        <w:t xml:space="preserve">8.2.1</w:t>
      </w:r>
      <w:r>
        <w:tab/>
      </w:r>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bookmarkEnd w:id="118"/>
    <w:bookmarkStart w:id="119" w:name="subsection-2-2"/>
    <w:p>
      <w:pPr>
        <w:pStyle w:val="Heading3"/>
      </w:pPr>
      <w:r>
        <w:rPr>
          <w:rStyle w:val="SectionNumber"/>
        </w:rPr>
        <w:t xml:space="preserve">8.2.2</w:t>
      </w:r>
      <w:r>
        <w:tab/>
      </w:r>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bookmarkEnd w:id="119"/>
    <w:bookmarkEnd w:id="120"/>
    <w:bookmarkStart w:id="121" w:name="results-2"/>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121"/>
    <w:bookmarkStart w:id="122" w:name="discussion-2"/>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122"/>
    <w:bookmarkStart w:id="123" w:name="conclusion-4"/>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123"/>
    <w:bookmarkEnd w:id="124"/>
    <w:bookmarkStart w:id="127" w:name="sec:conclusion"/>
    <w:p>
      <w:pPr>
        <w:pStyle w:val="Heading1"/>
      </w:pPr>
      <w:r>
        <w:rPr>
          <w:rStyle w:val="SectionNumber"/>
        </w:rPr>
        <w:t xml:space="preserve">9</w:t>
      </w:r>
      <w:r>
        <w:tab/>
      </w:r>
      <w:r>
        <w:t xml:space="preserve">Conclusion</w:t>
      </w:r>
    </w:p>
    <w:bookmarkStart w:id="125"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125"/>
    <w:bookmarkStart w:id="126"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126"/>
    <w:bookmarkEnd w:id="127"/>
    <w:bookmarkStart w:id="128"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128"/>
    <w:bookmarkStart w:id="129"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129"/>
    <w:bookmarkStart w:id="337" w:name="references"/>
    <w:p>
      <w:pPr>
        <w:pStyle w:val="Heading1"/>
      </w:pPr>
      <w:r>
        <w:t xml:space="preserve">References</w:t>
      </w:r>
    </w:p>
    <w:bookmarkStart w:id="336" w:name="refs"/>
    <w:bookmarkStart w:id="130"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 (No. November).</w:t>
      </w:r>
    </w:p>
    <w:bookmarkEnd w:id="130"/>
    <w:bookmarkStart w:id="131" w:name="X5a70db932ff4717cfbc30f6fe285191ec112a17"/>
    <w:p>
      <w:pPr>
        <w:pStyle w:val="Bibliography"/>
      </w:pPr>
      <w:r>
        <w:t xml:space="preserve">Abbasy, A., 2012. National</w:t>
      </w:r>
      <w:r>
        <w:t xml:space="preserve"> </w:t>
      </w:r>
      <w:r>
        <w:t xml:space="preserve">Design</w:t>
      </w:r>
      <w:r>
        <w:t xml:space="preserve"> </w:t>
      </w:r>
      <w:r>
        <w:t xml:space="preserve">and</w:t>
      </w:r>
      <w:r>
        <w:t xml:space="preserve"> </w:t>
      </w:r>
      <w:r>
        <w:t xml:space="preserve">Multinational Integration</w:t>
      </w:r>
      <w:r>
        <w:t xml:space="preserve"> </w:t>
      </w:r>
      <w:r>
        <w:t xml:space="preserve">of</w:t>
      </w:r>
      <w:r>
        <w:t xml:space="preserve"> </w:t>
      </w:r>
      <w:r>
        <w:t xml:space="preserve">Balancing Services Markets</w:t>
      </w:r>
      <w:r>
        <w:t xml:space="preserve"> </w:t>
      </w:r>
      <w:r>
        <w:t xml:space="preserve">(PhD thesis). TU Delft.</w:t>
      </w:r>
    </w:p>
    <w:bookmarkEnd w:id="131"/>
    <w:bookmarkStart w:id="133"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132">
        <w:r>
          <w:rPr>
            <w:rStyle w:val="Hyperlink"/>
          </w:rPr>
          <w:t xml:space="preserve">https://doi.org/10.2139/ssrn.3302569</w:t>
        </w:r>
      </w:hyperlink>
    </w:p>
    <w:bookmarkEnd w:id="133"/>
    <w:bookmarkStart w:id="134" w:name="ref-akramEnergyStorageShortTerm2020"/>
    <w:p>
      <w:pPr>
        <w:pStyle w:val="Bibliography"/>
      </w:pPr>
      <w:r>
        <w:t xml:space="preserve">Akram, U., Mithulananthan, N., Shah, R., Basit, S.A., 2020. Energy</w:t>
      </w:r>
      <w:r>
        <w:t xml:space="preserve"> </w:t>
      </w:r>
      <w:r>
        <w:t xml:space="preserve">Storage</w:t>
      </w:r>
      <w:r>
        <w:t xml:space="preserve"> </w:t>
      </w:r>
      <w:r>
        <w:t xml:space="preserve">for</w:t>
      </w:r>
      <w:r>
        <w:t xml:space="preserve"> </w:t>
      </w:r>
      <w:r>
        <w:t xml:space="preserve">Short-Term Frequency Stability Enhancement</w:t>
      </w:r>
      <w:r>
        <w:t xml:space="preserve"> </w:t>
      </w:r>
      <w:r>
        <w:t xml:space="preserve">in</w:t>
      </w:r>
      <w:r>
        <w:t xml:space="preserve"> </w:t>
      </w:r>
      <w:r>
        <w:t xml:space="preserve">Low-Inertia Power Systems</w:t>
      </w:r>
      <w:r>
        <w:t xml:space="preserve">. 2020 Australasian Universities Power Engineering Conference (AUPEC).</w:t>
      </w:r>
    </w:p>
    <w:bookmarkEnd w:id="134"/>
    <w:bookmarkStart w:id="135" w:name="ref-aureconLargeScaleBatteryStorage2019"/>
    <w:p>
      <w:pPr>
        <w:pStyle w:val="Bibliography"/>
      </w:pPr>
      <w:r>
        <w:t xml:space="preserve">Aurecon, 2019. Large-</w:t>
      </w:r>
      <w:r>
        <w:t xml:space="preserve">Scale Battery Storage Knowledge Sharing Report</w:t>
      </w:r>
      <w:r>
        <w:t xml:space="preserve">.</w:t>
      </w:r>
      <w:r>
        <w:t xml:space="preserve"> </w:t>
      </w:r>
      <w:r>
        <w:t xml:space="preserve">ARENA</w:t>
      </w:r>
      <w:r>
        <w:t xml:space="preserve">.</w:t>
      </w:r>
    </w:p>
    <w:bookmarkEnd w:id="135"/>
    <w:bookmarkStart w:id="136" w:name="X520e518fc5bb21bb6fbac8c9ae07c1cca4e9089"/>
    <w:p>
      <w:pPr>
        <w:pStyle w:val="Bibliography"/>
      </w:pPr>
      <w:r>
        <w:t xml:space="preserve">Australian Energy Market Commission, n.d. National</w:t>
      </w:r>
      <w:r>
        <w:t xml:space="preserve"> </w:t>
      </w:r>
      <w:r>
        <w:t xml:space="preserve">Electricity Market</w:t>
      </w:r>
      <w:r>
        <w:t xml:space="preserve">.</w:t>
      </w:r>
    </w:p>
    <w:bookmarkEnd w:id="136"/>
    <w:bookmarkStart w:id="137"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137"/>
    <w:bookmarkStart w:id="138"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138"/>
    <w:bookmarkStart w:id="139" w:name="X4e15fbfc9c73a2296d46b736a9c7d1a5654655e"/>
    <w:p>
      <w:pPr>
        <w:pStyle w:val="Bibliography"/>
      </w:pPr>
      <w:r>
        <w:t xml:space="preserve">Australian Energy Market Commission, 2021c. Reserve services in the</w:t>
      </w:r>
      <w:r>
        <w:t xml:space="preserve"> </w:t>
      </w:r>
      <w:r>
        <w:t xml:space="preserve">National Electricity Market</w:t>
      </w:r>
      <w:r>
        <w:t xml:space="preserve">,</w:t>
      </w:r>
      <w:r>
        <w:t xml:space="preserve"> </w:t>
      </w:r>
      <w:r>
        <w:t xml:space="preserve">Directions Paper</w:t>
      </w:r>
      <w:r>
        <w:t xml:space="preserve">.</w:t>
      </w:r>
    </w:p>
    <w:bookmarkEnd w:id="139"/>
    <w:bookmarkStart w:id="140"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w:t>
      </w:r>
    </w:p>
    <w:bookmarkEnd w:id="140"/>
    <w:bookmarkStart w:id="141" w:name="X55ac5d59022fb8fc127e5e4f8e1b2f3c3feff8c"/>
    <w:p>
      <w:pPr>
        <w:pStyle w:val="Bibliography"/>
      </w:pPr>
      <w:r>
        <w:t xml:space="preserve">Australian Energy Market Commission, 2020c. Frequency control rule changes.</w:t>
      </w:r>
    </w:p>
    <w:bookmarkEnd w:id="141"/>
    <w:bookmarkStart w:id="142"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142"/>
    <w:bookmarkStart w:id="143"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143"/>
    <w:bookmarkStart w:id="144"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144"/>
    <w:bookmarkStart w:id="145" w:name="X122c867e6dde1f00e4486b24c752821f4d73d2a"/>
    <w:p>
      <w:pPr>
        <w:pStyle w:val="Bibliography"/>
      </w:pPr>
      <w:r>
        <w:t xml:space="preserve">Australian Energy Market Commission, 2016. National</w:t>
      </w:r>
      <w:r>
        <w:t xml:space="preserve"> </w:t>
      </w:r>
      <w:r>
        <w:t xml:space="preserve">Electricity Amendment</w:t>
      </w:r>
      <w:r>
        <w:t xml:space="preserve"> </w:t>
      </w:r>
      <w:r>
        <w:t xml:space="preserve">(</w:t>
      </w:r>
      <w:r>
        <w:t xml:space="preserve">Demand Response Mechanism</w:t>
      </w:r>
      <w:r>
        <w:t xml:space="preserve"> </w:t>
      </w:r>
      <w:r>
        <w:t xml:space="preserve">and</w:t>
      </w:r>
      <w:r>
        <w:t xml:space="preserve"> </w:t>
      </w:r>
      <w:r>
        <w:t xml:space="preserve">Ancillary Services Unbundling</w:t>
      </w:r>
      <w:r>
        <w:t xml:space="preserve">)</w:t>
      </w:r>
      <w:r>
        <w:t xml:space="preserve"> </w:t>
      </w:r>
      <w:r>
        <w:t xml:space="preserve">Rule</w:t>
      </w:r>
      <w:r>
        <w:t xml:space="preserve"> </w:t>
      </w:r>
      <w:r>
        <w:t xml:space="preserve">2016 -</w:t>
      </w:r>
      <w:r>
        <w:t xml:space="preserve"> </w:t>
      </w:r>
      <w:r>
        <w:t xml:space="preserve">Final</w:t>
      </w:r>
      <w:r>
        <w:t xml:space="preserve"> </w:t>
      </w:r>
      <w:r>
        <w:t xml:space="preserve">rule determination.</w:t>
      </w:r>
    </w:p>
    <w:bookmarkEnd w:id="145"/>
    <w:bookmarkStart w:id="146"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 </w:t>
      </w:r>
      <w:r>
        <w:t xml:space="preserve">(No. November).</w:t>
      </w:r>
    </w:p>
    <w:bookmarkEnd w:id="146"/>
    <w:bookmarkStart w:id="147"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147"/>
    <w:bookmarkStart w:id="148"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148"/>
    <w:bookmarkStart w:id="149" w:name="X3f3bf6f6062ae28ac207f19cca41ed92cbea4fc"/>
    <w:p>
      <w:pPr>
        <w:pStyle w:val="Bibliography"/>
      </w:pPr>
      <w:r>
        <w:t xml:space="preserve">Australian Energy Market Operator, 2021f. Behaviour of distributed resources during power system disturbances</w:t>
      </w:r>
      <w:r>
        <w:t xml:space="preserve"> </w:t>
      </w:r>
      <w:r>
        <w:t xml:space="preserve">Overview</w:t>
      </w:r>
      <w:r>
        <w:t xml:space="preserve"> </w:t>
      </w:r>
      <w:r>
        <w:t xml:space="preserve">of key findings.</w:t>
      </w:r>
    </w:p>
    <w:bookmarkEnd w:id="149"/>
    <w:bookmarkStart w:id="150"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150"/>
    <w:bookmarkStart w:id="151"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151"/>
    <w:bookmarkStart w:id="152"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152"/>
    <w:bookmarkStart w:id="153"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153"/>
    <w:bookmarkStart w:id="154"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154"/>
    <w:bookmarkStart w:id="15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155"/>
    <w:bookmarkStart w:id="156"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156"/>
    <w:bookmarkStart w:id="157" w:name="X0e5a15395ae87400b0bd32f617ab7fb54b9a292"/>
    <w:p>
      <w:pPr>
        <w:pStyle w:val="Bibliography"/>
      </w:pPr>
      <w:r>
        <w:t xml:space="preserve">Australian Energy Market Operator, 2020d. 2020</w:t>
      </w:r>
      <w:r>
        <w:t xml:space="preserve"> </w:t>
      </w:r>
      <w:r>
        <w:t xml:space="preserve">Integrated System Plan</w:t>
      </w:r>
      <w:r>
        <w:t xml:space="preserve"> </w:t>
      </w:r>
      <w:r>
        <w:t xml:space="preserve">(No. December), Clean Energy Council.</w:t>
      </w:r>
    </w:p>
    <w:bookmarkEnd w:id="157"/>
    <w:bookmarkStart w:id="158" w:name="X53f76bdd056d9eea02eec09df53cfa79f28c5b7"/>
    <w:p>
      <w:pPr>
        <w:pStyle w:val="Bibliography"/>
      </w:pPr>
      <w:r>
        <w:t xml:space="preserve">Australian Energy Market Operator, 2020i. Interim</w:t>
      </w:r>
      <w:r>
        <w:t xml:space="preserve"> </w:t>
      </w:r>
      <w:r>
        <w:t xml:space="preserve">Primary Frequency Response Requirements</w:t>
      </w:r>
      <w:r>
        <w:t xml:space="preserve">.</w:t>
      </w:r>
    </w:p>
    <w:bookmarkEnd w:id="158"/>
    <w:bookmarkStart w:id="159" w:name="X25d4e8862632231c092922d0533da768306b12c"/>
    <w:p>
      <w:pPr>
        <w:pStyle w:val="Bibliography"/>
      </w:pPr>
      <w:r>
        <w:t xml:space="preserve">Australian Energy Market Operator, 2020e. Market ancillary service specification.</w:t>
      </w:r>
    </w:p>
    <w:bookmarkEnd w:id="159"/>
    <w:bookmarkStart w:id="160" w:name="Xfc619ad5e2a1dfeb5693209aca0f75fa447feeb"/>
    <w:p>
      <w:pPr>
        <w:pStyle w:val="Bibliography"/>
      </w:pPr>
      <w:r>
        <w:t xml:space="preserve">Australian Energy Market Operator, 2020g.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160"/>
    <w:bookmarkStart w:id="161"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161"/>
    <w:bookmarkStart w:id="162" w:name="X2713d682f460f54a036fc743e7e0c8571400df5"/>
    <w:p>
      <w:pPr>
        <w:pStyle w:val="Bibliography"/>
      </w:pPr>
      <w:r>
        <w:t xml:space="preserve">Australian Energy Market Operator, 2020j. Quarterly</w:t>
      </w:r>
      <w:r>
        <w:t xml:space="preserve"> </w:t>
      </w:r>
      <w:r>
        <w:t xml:space="preserve">Energy Dynamics Q1</w:t>
      </w:r>
      <w:r>
        <w:t xml:space="preserve"> </w:t>
      </w:r>
      <w:r>
        <w:t xml:space="preserve">2020.</w:t>
      </w:r>
    </w:p>
    <w:bookmarkEnd w:id="162"/>
    <w:bookmarkStart w:id="163" w:name="X2cabe126713e4162a0fb000c86d68d3e3e288c6"/>
    <w:p>
      <w:pPr>
        <w:pStyle w:val="Bibliography"/>
      </w:pPr>
      <w:r>
        <w:t xml:space="preserve">Australian Energy Market Operator, 2020b.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163"/>
    <w:bookmarkStart w:id="164" w:name="X0e03840bb3a8964157d0fa5fb491ec9540cd333"/>
    <w:p>
      <w:pPr>
        <w:pStyle w:val="Bibliography"/>
      </w:pPr>
      <w:r>
        <w:t xml:space="preserve">Australian Energy Market Operator, 2020h.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164"/>
    <w:bookmarkStart w:id="165" w:name="X1e56b8dc9deabe582649f9930346b434910d2bf"/>
    <w:p>
      <w:pPr>
        <w:pStyle w:val="Bibliography"/>
      </w:pPr>
      <w:r>
        <w:t xml:space="preserve">Australian Energy Market Operator, 2020c.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165"/>
    <w:bookmarkStart w:id="166" w:name="X72c0b4894adba6fe5116b27ff4793a7b2f6bd43"/>
    <w:p>
      <w:pPr>
        <w:pStyle w:val="Bibliography"/>
      </w:pPr>
      <w:r>
        <w:t xml:space="preserve">Australian Energy Market Operator, 2020f. System strength in the</w:t>
      </w:r>
      <w:r>
        <w:t xml:space="preserve"> </w:t>
      </w:r>
      <w:r>
        <w:t xml:space="preserve">NEM</w:t>
      </w:r>
      <w:r>
        <w:t xml:space="preserve"> </w:t>
      </w:r>
      <w:r>
        <w:t xml:space="preserve">explained.</w:t>
      </w:r>
    </w:p>
    <w:bookmarkEnd w:id="166"/>
    <w:bookmarkStart w:id="167"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167"/>
    <w:bookmarkStart w:id="168"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168"/>
    <w:bookmarkStart w:id="169" w:name="Xb34d075e5c2031412240bb6490b5f9263e24674"/>
    <w:p>
      <w:pPr>
        <w:pStyle w:val="Bibliography"/>
      </w:pPr>
      <w:r>
        <w:t xml:space="preserve">Australian Energy Market Operator, 2019d. Final</w:t>
      </w:r>
      <w:r>
        <w:t xml:space="preserve"> </w:t>
      </w:r>
      <w:r>
        <w:t xml:space="preserve">Report</w:t>
      </w:r>
      <w:r>
        <w:t xml:space="preserve"> </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169"/>
    <w:bookmarkStart w:id="170"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170"/>
    <w:bookmarkStart w:id="171"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171"/>
    <w:bookmarkStart w:id="172" w:name="X4987a8262f6f92063ffda336c2631f4f0954a6a"/>
    <w:p>
      <w:pPr>
        <w:pStyle w:val="Bibliography"/>
      </w:pPr>
      <w:r>
        <w:t xml:space="preserve">Australian Energy Market Operator, 2018a.</w:t>
      </w:r>
      <w:r>
        <w:t xml:space="preserve"> </w:t>
      </w:r>
      <w:r>
        <w:t xml:space="preserve">AEMC Frequency Control Frameworks Review</w:t>
      </w:r>
      <w:r>
        <w:t xml:space="preserve"> </w:t>
      </w:r>
      <w:r>
        <w:t xml:space="preserve">-</w:t>
      </w:r>
      <w:r>
        <w:t xml:space="preserve"> </w:t>
      </w:r>
      <w:r>
        <w:t xml:space="preserve">AEMO Advice</w:t>
      </w:r>
      <w:r>
        <w:t xml:space="preserve">.</w:t>
      </w:r>
    </w:p>
    <w:bookmarkEnd w:id="172"/>
    <w:bookmarkStart w:id="173"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173"/>
    <w:bookmarkStart w:id="174" w:name="X677accbfeb336ffeb381645c930e4110a8b0447"/>
    <w:p>
      <w:pPr>
        <w:pStyle w:val="Bibliography"/>
      </w:pPr>
      <w:r>
        <w:t xml:space="preserve">Australian Energy Market Operator, 2018c. Inertia requirements methodology: Inertia requirements &amp; shortfalls.</w:t>
      </w:r>
    </w:p>
    <w:bookmarkEnd w:id="174"/>
    <w:bookmarkStart w:id="175"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175"/>
    <w:bookmarkStart w:id="176"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176"/>
    <w:bookmarkStart w:id="177"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177"/>
    <w:bookmarkStart w:id="178"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178"/>
    <w:bookmarkStart w:id="179"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179"/>
    <w:bookmarkStart w:id="180"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180"/>
    <w:bookmarkStart w:id="181"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181"/>
    <w:bookmarkStart w:id="182"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182"/>
    <w:bookmarkStart w:id="183"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183"/>
    <w:bookmarkStart w:id="184"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184"/>
    <w:bookmarkStart w:id="18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w:t>
      </w:r>
    </w:p>
    <w:bookmarkEnd w:id="185"/>
    <w:bookmarkStart w:id="187"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186">
        <w:r>
          <w:rPr>
            <w:rStyle w:val="Hyperlink"/>
          </w:rPr>
          <w:t xml:space="preserve">https://doi.org/10.1016/j.rser.2018.03.085</w:t>
        </w:r>
      </w:hyperlink>
    </w:p>
    <w:bookmarkEnd w:id="187"/>
    <w:bookmarkStart w:id="189"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188">
        <w:r>
          <w:rPr>
            <w:rStyle w:val="Hyperlink"/>
          </w:rPr>
          <w:t xml:space="preserve">https://doi.org/10.26889/9781784671600</w:t>
        </w:r>
      </w:hyperlink>
    </w:p>
    <w:bookmarkEnd w:id="189"/>
    <w:bookmarkStart w:id="191"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190">
        <w:r>
          <w:rPr>
            <w:rStyle w:val="Hyperlink"/>
          </w:rPr>
          <w:t xml:space="preserve">https://doi.org/10.1016/j.tej.2019.106668</w:t>
        </w:r>
      </w:hyperlink>
    </w:p>
    <w:bookmarkEnd w:id="191"/>
    <w:bookmarkStart w:id="192" w:name="ref-cherevatskiyGridFormingEnergy2020"/>
    <w:p>
      <w:pPr>
        <w:pStyle w:val="Bibliography"/>
      </w:pPr>
      <w:r>
        <w:t xml:space="preserve">Cherevatskiy, S., Sproul, S., Zabihi, S., Korte, R., Klingenberg, H., Buchholz, B., Oudalov, A., 2020. Grid</w:t>
      </w:r>
      <w:r>
        <w:t xml:space="preserve"> </w:t>
      </w:r>
      <w:r>
        <w:t xml:space="preserve">Forming Energy Storage System</w:t>
      </w:r>
      <w:r>
        <w:t xml:space="preserve"> </w:t>
      </w:r>
      <w:r>
        <w:t xml:space="preserve">addresses challenges of grids with high penetration of renewables (</w:t>
      </w:r>
      <w:r>
        <w:t xml:space="preserve">A</w:t>
      </w:r>
      <w:r>
        <w:t xml:space="preserve"> </w:t>
      </w:r>
      <w:r>
        <w:t xml:space="preserve">case study), in: 48th</w:t>
      </w:r>
      <w:r>
        <w:t xml:space="preserve"> </w:t>
      </w:r>
      <w:r>
        <w:t xml:space="preserve">CIGRE Session</w:t>
      </w:r>
      <w:r>
        <w:t xml:space="preserve"> </w:t>
      </w:r>
      <w:r>
        <w:t xml:space="preserve">2020,</w:t>
      </w:r>
      <w:r>
        <w:t xml:space="preserve"> </w:t>
      </w:r>
      <w:r>
        <w:t xml:space="preserve">Paris</w:t>
      </w:r>
      <w:r>
        <w:t xml:space="preserve">.</w:t>
      </w:r>
    </w:p>
    <w:bookmarkEnd w:id="192"/>
    <w:bookmarkStart w:id="194"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193">
        <w:r>
          <w:rPr>
            <w:rStyle w:val="Hyperlink"/>
          </w:rPr>
          <w:t xml:space="preserve">https://doi.org/10.1109/jproc.2005.857493</w:t>
        </w:r>
      </w:hyperlink>
    </w:p>
    <w:bookmarkEnd w:id="194"/>
    <w:bookmarkStart w:id="195"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195"/>
    <w:bookmarkStart w:id="197" w:name="ref-cramtonElectricityMarketDesign2017"/>
    <w:p>
      <w:pPr>
        <w:pStyle w:val="Bibliography"/>
      </w:pPr>
      <w:r>
        <w:t xml:space="preserve">Cramton, P., 2017. Electricity market design. Oxford Review of Economic Policy 33, 589–612.</w:t>
      </w:r>
      <w:r>
        <w:t xml:space="preserve"> </w:t>
      </w:r>
      <w:hyperlink r:id="rId196">
        <w:r>
          <w:rPr>
            <w:rStyle w:val="Hyperlink"/>
          </w:rPr>
          <w:t xml:space="preserve">https://doi.org/10.1093/oxrep/grx041</w:t>
        </w:r>
      </w:hyperlink>
    </w:p>
    <w:bookmarkEnd w:id="197"/>
    <w:bookmarkStart w:id="199"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198">
        <w:r>
          <w:rPr>
            <w:rStyle w:val="Hyperlink"/>
          </w:rPr>
          <w:t xml:space="preserve">https://doi.org/10.1016/j.enpol.2018.09.031</w:t>
        </w:r>
      </w:hyperlink>
    </w:p>
    <w:bookmarkEnd w:id="199"/>
    <w:bookmarkStart w:id="200"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w:t>
      </w:r>
      <w:r>
        <w:t xml:space="preserve">(No. May).</w:t>
      </w:r>
      <w:r>
        <w:t xml:space="preserve"> </w:t>
      </w:r>
      <w:r>
        <w:t xml:space="preserve">NREL</w:t>
      </w:r>
      <w:r>
        <w:t xml:space="preserve">.</w:t>
      </w:r>
    </w:p>
    <w:bookmarkEnd w:id="200"/>
    <w:bookmarkStart w:id="20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201"/>
    <w:bookmarkStart w:id="20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202"/>
    <w:bookmarkStart w:id="20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203"/>
    <w:bookmarkStart w:id="205"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204">
        <w:r>
          <w:rPr>
            <w:rStyle w:val="Hyperlink"/>
          </w:rPr>
          <w:t xml:space="preserve">https://doi.org/10.1109/MPE.2021.3088958</w:t>
        </w:r>
      </w:hyperlink>
    </w:p>
    <w:bookmarkEnd w:id="205"/>
    <w:bookmarkStart w:id="207"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206">
        <w:r>
          <w:rPr>
            <w:rStyle w:val="Hyperlink"/>
          </w:rPr>
          <w:t xml:space="preserve">https://doi.org/10.1007/s11149-021-09430-7</w:t>
        </w:r>
      </w:hyperlink>
    </w:p>
    <w:bookmarkEnd w:id="207"/>
    <w:bookmarkStart w:id="208" w:name="ref-elaAncillaryServicesUnited2019"/>
    <w:p>
      <w:pPr>
        <w:pStyle w:val="Bibliography"/>
      </w:pPr>
      <w:r>
        <w:t xml:space="preserve">Ela, E., Hytowitz, R.B., 2019. Ancillary</w:t>
      </w:r>
      <w:r>
        <w:t xml:space="preserve"> </w:t>
      </w:r>
      <w:r>
        <w:t xml:space="preserve">Services</w:t>
      </w:r>
      <w:r>
        <w:t xml:space="preserve"> </w:t>
      </w:r>
      <w:r>
        <w:t xml:space="preserve">in the</w:t>
      </w:r>
      <w:r>
        <w:t xml:space="preserve"> </w:t>
      </w:r>
      <w:r>
        <w:t xml:space="preserve">United States</w:t>
      </w:r>
      <w:r>
        <w:t xml:space="preserve">:</w:t>
      </w:r>
      <w:r>
        <w:t xml:space="preserve"> </w:t>
      </w:r>
      <w:r>
        <w:t xml:space="preserve">Technical Requirements</w:t>
      </w:r>
      <w:r>
        <w:t xml:space="preserve">,</w:t>
      </w:r>
      <w:r>
        <w:t xml:space="preserve"> </w:t>
      </w:r>
      <w:r>
        <w:t xml:space="preserve">Market Designs</w:t>
      </w:r>
      <w:r>
        <w:t xml:space="preserve"> </w:t>
      </w:r>
      <w:r>
        <w:t xml:space="preserve">and</w:t>
      </w:r>
      <w:r>
        <w:t xml:space="preserve"> </w:t>
      </w:r>
      <w:r>
        <w:t xml:space="preserve">Price Trends</w:t>
      </w:r>
      <w:r>
        <w:t xml:space="preserve">.</w:t>
      </w:r>
      <w:r>
        <w:t xml:space="preserve"> </w:t>
      </w:r>
      <w:r>
        <w:t xml:space="preserve">Electric Power Research Institute</w:t>
      </w:r>
      <w:r>
        <w:t xml:space="preserve">.</w:t>
      </w:r>
    </w:p>
    <w:bookmarkEnd w:id="208"/>
    <w:bookmarkStart w:id="210"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209">
        <w:r>
          <w:rPr>
            <w:rStyle w:val="Hyperlink"/>
          </w:rPr>
          <w:t xml:space="preserve">https://doi.org/10.1109/pesgm.2012.6345361</w:t>
        </w:r>
      </w:hyperlink>
    </w:p>
    <w:bookmarkEnd w:id="210"/>
    <w:bookmarkStart w:id="212"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211">
        <w:r>
          <w:rPr>
            <w:rStyle w:val="Hyperlink"/>
          </w:rPr>
          <w:t xml:space="preserve">https://doi.org/10.2172/1023095</w:t>
        </w:r>
      </w:hyperlink>
    </w:p>
    <w:bookmarkEnd w:id="212"/>
    <w:bookmarkStart w:id="214"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213">
        <w:r>
          <w:rPr>
            <w:rStyle w:val="Hyperlink"/>
          </w:rPr>
          <w:t xml:space="preserve">https://doi.org/10.1109/mpe.2019.2933281</w:t>
        </w:r>
      </w:hyperlink>
    </w:p>
    <w:bookmarkEnd w:id="214"/>
    <w:bookmarkStart w:id="216"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215">
        <w:r>
          <w:rPr>
            <w:rStyle w:val="Hyperlink"/>
          </w:rPr>
          <w:t xml:space="preserve">https://doi.org/10.1016/j.tej.2012.04.015</w:t>
        </w:r>
      </w:hyperlink>
    </w:p>
    <w:bookmarkEnd w:id="216"/>
    <w:bookmarkStart w:id="217" w:name="X7015a224666469daa6d4b0f722bbf71ebae73a3"/>
    <w:p>
      <w:pPr>
        <w:pStyle w:val="Bibliography"/>
      </w:pPr>
      <w:r>
        <w:t xml:space="preserve">Energy Security Board, 2021. Post 2025</w:t>
      </w:r>
      <w:r>
        <w:t xml:space="preserve"> </w:t>
      </w:r>
      <w:r>
        <w:t xml:space="preserve">Market Design Options</w:t>
      </w:r>
      <w:r>
        <w:t xml:space="preserve"> </w:t>
      </w:r>
      <w:r>
        <w:t xml:space="preserve"> </w:t>
      </w:r>
      <w:r>
        <w:t xml:space="preserve">A</w:t>
      </w:r>
      <w:r>
        <w:t xml:space="preserve"> </w:t>
      </w:r>
      <w:r>
        <w:t xml:space="preserve">paper for consultation:</w:t>
      </w:r>
      <w:r>
        <w:t xml:space="preserve"> </w:t>
      </w:r>
      <w:r>
        <w:t xml:space="preserve">Part B</w:t>
      </w:r>
      <w:r>
        <w:t xml:space="preserve">.</w:t>
      </w:r>
    </w:p>
    <w:bookmarkEnd w:id="217"/>
    <w:bookmarkStart w:id="218" w:name="X6c60a147e49364a37325ec3c8c342d718257c70"/>
    <w:p>
      <w:pPr>
        <w:pStyle w:val="Bibliography"/>
      </w:pPr>
      <w:r>
        <w:t xml:space="preserve">Energy Security Board, 2020. Post 2025</w:t>
      </w:r>
      <w:r>
        <w:t xml:space="preserve"> </w:t>
      </w:r>
      <w:r>
        <w:t xml:space="preserve">Market Design Consultation Paper</w:t>
      </w:r>
      <w:r>
        <w:t xml:space="preserve">.</w:t>
      </w:r>
      <w:r>
        <w:t xml:space="preserve"> </w:t>
      </w:r>
      <w:r>
        <w:t xml:space="preserve">COAG Energy Council</w:t>
      </w:r>
      <w:r>
        <w:t xml:space="preserve">.</w:t>
      </w:r>
    </w:p>
    <w:bookmarkEnd w:id="218"/>
    <w:bookmarkStart w:id="219"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219"/>
    <w:bookmarkStart w:id="220" w:name="ref-epexspotEuropeanMarketCoupling"/>
    <w:p>
      <w:pPr>
        <w:pStyle w:val="Bibliography"/>
      </w:pPr>
      <w:r>
        <w:t xml:space="preserve">EPEX Spot, n.d. European</w:t>
      </w:r>
      <w:r>
        <w:t xml:space="preserve"> </w:t>
      </w:r>
      <w:r>
        <w:t xml:space="preserve">Market Coupling</w:t>
      </w:r>
      <w:r>
        <w:t xml:space="preserve">.</w:t>
      </w:r>
    </w:p>
    <w:bookmarkEnd w:id="220"/>
    <w:bookmarkStart w:id="222"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221">
        <w:r>
          <w:rPr>
            <w:rStyle w:val="Hyperlink"/>
          </w:rPr>
          <w:t xml:space="preserve">https://doi.org/10.1049/iet-rpg.2017.0370</w:t>
        </w:r>
      </w:hyperlink>
    </w:p>
    <w:bookmarkEnd w:id="222"/>
    <w:bookmarkStart w:id="223"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223"/>
    <w:bookmarkStart w:id="224"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224"/>
    <w:bookmarkStart w:id="225" w:name="Xc2eda901e84eb700caa2d19078af1c12c2e9550"/>
    <w:p>
      <w:pPr>
        <w:pStyle w:val="Bibliography"/>
      </w:pPr>
      <w:r>
        <w:t xml:space="preserve">European Commission, 2017. Commission</w:t>
      </w:r>
      <w:r>
        <w:t xml:space="preserve"> </w:t>
      </w:r>
      <w:r>
        <w:t xml:space="preserve">Regulation</w:t>
      </w:r>
      <w:r>
        <w:t xml:space="preserve"> </w:t>
      </w:r>
      <w:r>
        <w:t xml:space="preserve">(</w:t>
      </w:r>
      <w:r>
        <w:t xml:space="preserve">EU</w:t>
      </w:r>
      <w:r>
        <w:t xml:space="preserve">) 2017/2195 of 23</w:t>
      </w:r>
      <w:r>
        <w:t xml:space="preserve"> </w:t>
      </w:r>
      <w:r>
        <w:t xml:space="preserve">November</w:t>
      </w:r>
      <w:r>
        <w:t xml:space="preserve"> </w:t>
      </w:r>
      <w:r>
        <w:t xml:space="preserve">2017 establishing a guideline on electricity balancing. Official Journal of the European Union.</w:t>
      </w:r>
    </w:p>
    <w:bookmarkEnd w:id="225"/>
    <w:bookmarkStart w:id="226"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226"/>
    <w:bookmarkStart w:id="227"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227"/>
    <w:bookmarkStart w:id="228" w:name="X977aae00333e0cfab0ba7c0b81bad1439afa208"/>
    <w:p>
      <w:pPr>
        <w:pStyle w:val="Bibliography"/>
      </w:pPr>
      <w:r>
        <w:t xml:space="preserve">Federal Energy Regulatory Commission, 2018.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p>
    <w:bookmarkEnd w:id="228"/>
    <w:bookmarkStart w:id="230"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229">
        <w:r>
          <w:rPr>
            <w:rStyle w:val="Hyperlink"/>
          </w:rPr>
          <w:t xml:space="preserve">https://doi.org/10.1016/j.rser.2019.109662</w:t>
        </w:r>
      </w:hyperlink>
    </w:p>
    <w:bookmarkEnd w:id="230"/>
    <w:bookmarkStart w:id="232" w:name="ref-frewImpactOperatingReserve2021"/>
    <w:p>
      <w:pPr>
        <w:pStyle w:val="Bibliography"/>
      </w:pPr>
      <w:r>
        <w:t xml:space="preserve">Frew, B., Brinkman, G., Denholm, P., Narwade, V., Stephen, G., Bloom, A., Lau, J., 2021. Impact of operating reserve rules on electricity prices with high penetrations of renewable energy. Energy Policy 156, 112443.</w:t>
      </w:r>
      <w:r>
        <w:t xml:space="preserve"> </w:t>
      </w:r>
      <w:hyperlink r:id="rId231">
        <w:r>
          <w:rPr>
            <w:rStyle w:val="Hyperlink"/>
          </w:rPr>
          <w:t xml:space="preserve">https://doi.org/10.1016/j.enpol.2021.112443</w:t>
        </w:r>
      </w:hyperlink>
    </w:p>
    <w:bookmarkEnd w:id="232"/>
    <w:bookmarkStart w:id="233"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233"/>
    <w:bookmarkStart w:id="234" w:name="ref-gimonGridPhysicsMarkets2020"/>
    <w:p>
      <w:pPr>
        <w:pStyle w:val="Bibliography"/>
      </w:pPr>
      <w:r>
        <w:t xml:space="preserve">Gimon, E., 2020. Grid</w:t>
      </w:r>
      <w:r>
        <w:t xml:space="preserve"> </w:t>
      </w:r>
      <w:r>
        <w:t xml:space="preserve">Physics</w:t>
      </w:r>
      <w:r>
        <w:t xml:space="preserve"> </w:t>
      </w:r>
      <w:r>
        <w:t xml:space="preserve">and</w:t>
      </w:r>
      <w:r>
        <w:t xml:space="preserve"> </w:t>
      </w:r>
      <w:r>
        <w:t xml:space="preserve">Markets</w:t>
      </w:r>
      <w:r>
        <w:t xml:space="preserve">:</w:t>
      </w:r>
      <w:r>
        <w:t xml:space="preserve"> </w:t>
      </w:r>
      <w:r>
        <w:t xml:space="preserve">A Non-Engineer</w:t>
      </w:r>
      <w:r>
        <w:t xml:space="preserve">’s</w:t>
      </w:r>
      <w:r>
        <w:t xml:space="preserve"> </w:t>
      </w:r>
      <w:r>
        <w:t xml:space="preserve">Perspective</w:t>
      </w:r>
      <w:r>
        <w:t xml:space="preserve">.</w:t>
      </w:r>
    </w:p>
    <w:bookmarkEnd w:id="234"/>
    <w:bookmarkStart w:id="235" w:name="ref-gormanNEMOSISNEMOpen2018"/>
    <w:p>
      <w:pPr>
        <w:pStyle w:val="Bibliography"/>
      </w:pPr>
      <w:r>
        <w:t xml:space="preserve">Gorman, N., Haghdadi, N., Bruce, A., MacGill, I., 2018.</w:t>
      </w:r>
      <w:r>
        <w:t xml:space="preserve"> </w:t>
      </w:r>
      <w:r>
        <w:t xml:space="preserve">NEMOSIS</w:t>
      </w:r>
      <w:r>
        <w:t xml:space="preserve"> </w:t>
      </w:r>
      <w:r>
        <w:t xml:space="preserve"> </w:t>
      </w:r>
      <w:r>
        <w:t xml:space="preserve">NEM Open Source Information Service</w:t>
      </w:r>
      <w:r>
        <w:t xml:space="preserve">; open-source access to</w:t>
      </w:r>
      <w:r>
        <w:t xml:space="preserve"> </w:t>
      </w:r>
      <w:r>
        <w:t xml:space="preserve">Australian National Electricity Market Data</w:t>
      </w:r>
      <w:r>
        <w:t xml:space="preserve">. Asia-Pacific Solar Research Conference.</w:t>
      </w:r>
    </w:p>
    <w:bookmarkEnd w:id="235"/>
    <w:bookmarkStart w:id="236"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236"/>
    <w:bookmarkStart w:id="238"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237">
        <w:r>
          <w:rPr>
            <w:rStyle w:val="Hyperlink"/>
          </w:rPr>
          <w:t xml:space="preserve">https://doi.org/10.1080/23251042.2016.1155690</w:t>
        </w:r>
      </w:hyperlink>
    </w:p>
    <w:bookmarkEnd w:id="238"/>
    <w:bookmarkStart w:id="240" w:name="X8a79f8474b1d215f54437e2dd31963ba1830fb8"/>
    <w:p>
      <w:pPr>
        <w:pStyle w:val="Bibliography"/>
      </w:pPr>
      <w:r>
        <w:t xml:space="preserve">Hartmann, B., Vokony, I., Táczi, I., 2019. Effects of decreasing synchronous inertia on power system dynamics</w:t>
      </w:r>
      <w:r>
        <w:t xml:space="preserve"> </w:t>
      </w:r>
      <w:r>
        <w:t xml:space="preserve">of recent experiences and marketisation of services. International Transactions on Electrical Energy Systems 29.</w:t>
      </w:r>
      <w:r>
        <w:t xml:space="preserve"> </w:t>
      </w:r>
      <w:hyperlink r:id="rId239">
        <w:r>
          <w:rPr>
            <w:rStyle w:val="Hyperlink"/>
          </w:rPr>
          <w:t xml:space="preserve">https://doi.org/10.1002/2050-7038.12128</w:t>
        </w:r>
      </w:hyperlink>
    </w:p>
    <w:bookmarkEnd w:id="240"/>
    <w:bookmarkStart w:id="241"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241"/>
    <w:bookmarkStart w:id="243"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242">
        <w:r>
          <w:rPr>
            <w:rStyle w:val="Hyperlink"/>
          </w:rPr>
          <w:t xml:space="preserve">https://doi.org/10.1016/j.rser.2015.04.180</w:t>
        </w:r>
      </w:hyperlink>
    </w:p>
    <w:bookmarkEnd w:id="243"/>
    <w:bookmarkStart w:id="245"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244">
        <w:r>
          <w:rPr>
            <w:rStyle w:val="Hyperlink"/>
          </w:rPr>
          <w:t xml:space="preserve">https://doi.org/10.1109/pesmg.2013.6673067</w:t>
        </w:r>
      </w:hyperlink>
    </w:p>
    <w:bookmarkEnd w:id="245"/>
    <w:bookmarkStart w:id="246" w:name="ref-hopwoodMandatoryPrimaryFrequency2019"/>
    <w:p>
      <w:pPr>
        <w:pStyle w:val="Bibliography"/>
      </w:pPr>
      <w:r>
        <w:t xml:space="preserve">Hopwood, C., 2019. Mandatory primary frequency response consultation paper submission -</w:t>
      </w:r>
      <w:r>
        <w:t xml:space="preserve"> </w:t>
      </w:r>
      <w:r>
        <w:t xml:space="preserve">TasNetworks</w:t>
      </w:r>
      <w:r>
        <w:t xml:space="preserve">.</w:t>
      </w:r>
    </w:p>
    <w:bookmarkEnd w:id="246"/>
    <w:bookmarkStart w:id="247" w:name="X707547308052f2a4e45271b892818fca7267bcd"/>
    <w:p>
      <w:pPr>
        <w:pStyle w:val="Bibliography"/>
      </w:pPr>
      <w:r>
        <w:t xml:space="preserve">International Energy Agency, 2021. Net</w:t>
      </w:r>
      <w:r>
        <w:t xml:space="preserve"> </w:t>
      </w:r>
      <w:r>
        <w:t xml:space="preserve">Zero</w:t>
      </w:r>
      <w:r>
        <w:t xml:space="preserve"> </w:t>
      </w:r>
      <w:r>
        <w:t xml:space="preserve">by 2050 -</w:t>
      </w:r>
      <w:r>
        <w:t xml:space="preserve"> </w:t>
      </w:r>
      <w:r>
        <w:t xml:space="preserve">A Roadmap</w:t>
      </w:r>
      <w:r>
        <w:t xml:space="preserve"> </w:t>
      </w:r>
      <w:r>
        <w:t xml:space="preserve">for the</w:t>
      </w:r>
      <w:r>
        <w:t xml:space="preserve"> </w:t>
      </w:r>
      <w:r>
        <w:t xml:space="preserve">Global Energy Sector</w:t>
      </w:r>
      <w:r>
        <w:t xml:space="preserve">.</w:t>
      </w:r>
    </w:p>
    <w:bookmarkEnd w:id="247"/>
    <w:bookmarkStart w:id="249"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248">
        <w:r>
          <w:rPr>
            <w:rStyle w:val="Hyperlink"/>
          </w:rPr>
          <w:t xml:space="preserve">https://doi.org/10.1016/j.enpol.2008.06.033</w:t>
        </w:r>
      </w:hyperlink>
    </w:p>
    <w:bookmarkEnd w:id="249"/>
    <w:bookmarkStart w:id="250"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250"/>
    <w:bookmarkStart w:id="252"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251">
        <w:r>
          <w:rPr>
            <w:rStyle w:val="Hyperlink"/>
          </w:rPr>
          <w:t xml:space="preserve">https://doi.org/10.1016/j.renene.2020.11.090</w:t>
        </w:r>
      </w:hyperlink>
    </w:p>
    <w:bookmarkEnd w:id="252"/>
    <w:bookmarkStart w:id="254"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253">
        <w:r>
          <w:rPr>
            <w:rStyle w:val="Hyperlink"/>
          </w:rPr>
          <w:t xml:space="preserve">https://doi.org/10.1016/j.solener.2020.05.053</w:t>
        </w:r>
      </w:hyperlink>
    </w:p>
    <w:bookmarkEnd w:id="254"/>
    <w:bookmarkStart w:id="255"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255"/>
    <w:bookmarkStart w:id="256"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256"/>
    <w:bookmarkStart w:id="258"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257">
        <w:r>
          <w:rPr>
            <w:rStyle w:val="Hyperlink"/>
          </w:rPr>
          <w:t xml:space="preserve">https://doi.org/10.1109/mpe.2016.2637122</w:t>
        </w:r>
      </w:hyperlink>
    </w:p>
    <w:bookmarkEnd w:id="258"/>
    <w:bookmarkStart w:id="260" w:name="ref-lagoMarketFrameworkGrid2021"/>
    <w:p>
      <w:pPr>
        <w:pStyle w:val="Bibliography"/>
      </w:pPr>
      <w:r>
        <w:t xml:space="preserve">Lago, J., Poplavskaya, K., Suryanarayana, G., De Schutter, B., 2021. A market framework for grid balancing support through imbalances trading. Renewable and Sustainable Energy Reviews 137, 110467.</w:t>
      </w:r>
      <w:r>
        <w:t xml:space="preserve"> </w:t>
      </w:r>
      <w:hyperlink r:id="rId259">
        <w:r>
          <w:rPr>
            <w:rStyle w:val="Hyperlink"/>
          </w:rPr>
          <w:t xml:space="preserve">https://doi.org/10.1016/j.rser.2020.110467</w:t>
        </w:r>
      </w:hyperlink>
    </w:p>
    <w:bookmarkEnd w:id="260"/>
    <w:bookmarkStart w:id="262"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261">
        <w:r>
          <w:rPr>
            <w:rStyle w:val="Hyperlink"/>
          </w:rPr>
          <w:t xml:space="preserve">https://doi.org/10.1109/mpe.2021.3088959</w:t>
        </w:r>
      </w:hyperlink>
    </w:p>
    <w:bookmarkEnd w:id="262"/>
    <w:bookmarkStart w:id="263"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263"/>
    <w:bookmarkStart w:id="265"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264">
        <w:r>
          <w:rPr>
            <w:rStyle w:val="Hyperlink"/>
          </w:rPr>
          <w:t xml:space="preserve">https://doi.org/10.1016/j.enpol.2020.111739</w:t>
        </w:r>
      </w:hyperlink>
    </w:p>
    <w:bookmarkEnd w:id="265"/>
    <w:bookmarkStart w:id="267"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266">
        <w:r>
          <w:rPr>
            <w:rStyle w:val="Hyperlink"/>
          </w:rPr>
          <w:t xml:space="preserve">https://doi.org/10.1109/pesgm41954.2020.9282169</w:t>
        </w:r>
      </w:hyperlink>
    </w:p>
    <w:bookmarkEnd w:id="267"/>
    <w:bookmarkStart w:id="269"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268">
        <w:r>
          <w:rPr>
            <w:rStyle w:val="Hyperlink"/>
          </w:rPr>
          <w:t xml:space="preserve">https://doi.org/10.1016/j.tej.2020.106831</w:t>
        </w:r>
      </w:hyperlink>
    </w:p>
    <w:bookmarkEnd w:id="269"/>
    <w:bookmarkStart w:id="27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270"/>
    <w:bookmarkStart w:id="272"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271">
        <w:r>
          <w:rPr>
            <w:rStyle w:val="Hyperlink"/>
          </w:rPr>
          <w:t xml:space="preserve">https://doi.org/10.1109/mpe.2020.3043570</w:t>
        </w:r>
      </w:hyperlink>
    </w:p>
    <w:bookmarkEnd w:id="272"/>
    <w:bookmarkStart w:id="274"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273">
        <w:r>
          <w:rPr>
            <w:rStyle w:val="Hyperlink"/>
          </w:rPr>
          <w:t xml:space="preserve">https://doi.org/10.1002/wene.399</w:t>
        </w:r>
      </w:hyperlink>
    </w:p>
    <w:bookmarkEnd w:id="274"/>
    <w:bookmarkStart w:id="276"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275">
        <w:r>
          <w:rPr>
            <w:rStyle w:val="Hyperlink"/>
          </w:rPr>
          <w:t xml:space="preserve">https://doi.org/10.23919/pscc.2018.8450880</w:t>
        </w:r>
      </w:hyperlink>
    </w:p>
    <w:bookmarkEnd w:id="276"/>
    <w:bookmarkStart w:id="277" w:name="ref-millerAdvisoryEquipmentLimits2017"/>
    <w:p>
      <w:pPr>
        <w:pStyle w:val="Bibliography"/>
      </w:pPr>
      <w:r>
        <w:t xml:space="preserve">Miller, N., Lew, D., Barnes, S., Ren, W., Reichard, M., Alexander, M., Freeman, L., Achilles, S., Adamiak, M., 2017a. Advisory on</w:t>
      </w:r>
      <w:r>
        <w:t xml:space="preserve"> </w:t>
      </w:r>
      <w:r>
        <w:t xml:space="preserve">Equipment Limits</w:t>
      </w:r>
      <w:r>
        <w:t xml:space="preserve"> </w:t>
      </w:r>
      <w:r>
        <w:t xml:space="preserve">associated with</w:t>
      </w:r>
      <w:r>
        <w:t xml:space="preserve"> </w:t>
      </w:r>
      <w:r>
        <w:t xml:space="preserve">High RoCoF</w:t>
      </w:r>
      <w:r>
        <w:t xml:space="preserve">.</w:t>
      </w:r>
      <w:r>
        <w:t xml:space="preserve"> </w:t>
      </w:r>
      <w:r>
        <w:t xml:space="preserve">GE Energy Consulting</w:t>
      </w:r>
      <w:r>
        <w:t xml:space="preserve">.</w:t>
      </w:r>
    </w:p>
    <w:bookmarkEnd w:id="277"/>
    <w:bookmarkStart w:id="278"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278"/>
    <w:bookmarkStart w:id="280"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279">
        <w:r>
          <w:rPr>
            <w:rStyle w:val="Hyperlink"/>
          </w:rPr>
          <w:t xml:space="preserve">https://doi.org/10.1016/j.tej.2011.10.011</w:t>
        </w:r>
      </w:hyperlink>
    </w:p>
    <w:bookmarkEnd w:id="280"/>
    <w:bookmarkStart w:id="281"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281"/>
    <w:bookmarkStart w:id="282" w:name="X924f2cb14b06b22bf527e8a066222b69a4c5b25"/>
    <w:p>
      <w:pPr>
        <w:pStyle w:val="Bibliography"/>
      </w:pPr>
      <w:r>
        <w:t xml:space="preserve">Monitoring Analytics, 2021. 2021</w:t>
      </w:r>
      <w:r>
        <w:t xml:space="preserve"> </w:t>
      </w:r>
      <w:r>
        <w:t xml:space="preserve">Quarterly State</w:t>
      </w:r>
      <w:r>
        <w:t xml:space="preserve"> </w:t>
      </w:r>
      <w:r>
        <w:t xml:space="preserve">of the</w:t>
      </w:r>
      <w:r>
        <w:t xml:space="preserve"> </w:t>
      </w:r>
      <w:r>
        <w:t xml:space="preserve">Market Report</w:t>
      </w:r>
      <w:r>
        <w:t xml:space="preserve"> </w:t>
      </w:r>
      <w:r>
        <w:t xml:space="preserve">for</w:t>
      </w:r>
      <w:r>
        <w:t xml:space="preserve"> </w:t>
      </w:r>
      <w:r>
        <w:t xml:space="preserve">PJM</w:t>
      </w:r>
      <w:r>
        <w:t xml:space="preserve">:</w:t>
      </w:r>
      <w:r>
        <w:t xml:space="preserve"> </w:t>
      </w:r>
      <w:r>
        <w:t xml:space="preserve">January</w:t>
      </w:r>
      <w:r>
        <w:t xml:space="preserve"> </w:t>
      </w:r>
      <w:r>
        <w:t xml:space="preserve">through</w:t>
      </w:r>
      <w:r>
        <w:t xml:space="preserve"> </w:t>
      </w:r>
      <w:r>
        <w:t xml:space="preserve">June</w:t>
      </w:r>
      <w:r>
        <w:t xml:space="preserve"> </w:t>
      </w:r>
      <w:r>
        <w:t xml:space="preserve">-</w:t>
      </w:r>
      <w:r>
        <w:t xml:space="preserve"> </w:t>
      </w:r>
      <w:r>
        <w:t xml:space="preserve">Section</w:t>
      </w:r>
      <w:r>
        <w:t xml:space="preserve"> </w:t>
      </w:r>
      <w:r>
        <w:t xml:space="preserve">10:</w:t>
      </w:r>
      <w:r>
        <w:t xml:space="preserve"> </w:t>
      </w:r>
      <w:r>
        <w:t xml:space="preserve">Ancillary Services</w:t>
      </w:r>
      <w:r>
        <w:t xml:space="preserve">.</w:t>
      </w:r>
    </w:p>
    <w:bookmarkEnd w:id="282"/>
    <w:bookmarkStart w:id="284"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283">
        <w:r>
          <w:rPr>
            <w:rStyle w:val="Hyperlink"/>
          </w:rPr>
          <w:t xml:space="preserve">https://doi.org/10.1016/j.ijepes.2013.09.020</w:t>
        </w:r>
      </w:hyperlink>
    </w:p>
    <w:bookmarkEnd w:id="284"/>
    <w:bookmarkStart w:id="285" w:name="ref-nemocommitteeSingleIntradayCoupling"/>
    <w:p>
      <w:pPr>
        <w:pStyle w:val="Bibliography"/>
      </w:pPr>
      <w:r>
        <w:t xml:space="preserve">NEMO Committee, n.d.</w:t>
      </w:r>
      <w:r>
        <w:t xml:space="preserve"> </w:t>
      </w:r>
      <w:r>
        <w:t xml:space="preserve">Single Intraday Coupling (SIDC)</w:t>
      </w:r>
      <w:r>
        <w:t xml:space="preserve">.</w:t>
      </w:r>
    </w:p>
    <w:bookmarkEnd w:id="285"/>
    <w:bookmarkStart w:id="286"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286"/>
    <w:bookmarkStart w:id="288"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287">
        <w:r>
          <w:rPr>
            <w:rStyle w:val="Hyperlink"/>
          </w:rPr>
          <w:t xml:space="preserve">https://doi.org/10.1109/eem.2016.7521193</w:t>
        </w:r>
      </w:hyperlink>
    </w:p>
    <w:bookmarkEnd w:id="288"/>
    <w:bookmarkStart w:id="290"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289">
        <w:r>
          <w:rPr>
            <w:rStyle w:val="Hyperlink"/>
          </w:rPr>
          <w:t xml:space="preserve">https://doi.org/10.1016/j.rser.2016.09.040</w:t>
        </w:r>
      </w:hyperlink>
    </w:p>
    <w:bookmarkEnd w:id="290"/>
    <w:bookmarkStart w:id="292"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291">
        <w:r>
          <w:rPr>
            <w:rStyle w:val="Hyperlink"/>
          </w:rPr>
          <w:t xml:space="preserve">https://doi.org/10.1016/j.eneco.2018.05.003</w:t>
        </w:r>
      </w:hyperlink>
    </w:p>
    <w:bookmarkEnd w:id="292"/>
    <w:bookmarkStart w:id="294"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293">
        <w:r>
          <w:rPr>
            <w:rStyle w:val="Hyperlink"/>
          </w:rPr>
          <w:t xml:space="preserve">https://doi.org/10.1109/pmaps47429.2020.9183585</w:t>
        </w:r>
      </w:hyperlink>
    </w:p>
    <w:bookmarkEnd w:id="294"/>
    <w:bookmarkStart w:id="296"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295">
        <w:r>
          <w:rPr>
            <w:rStyle w:val="Hyperlink"/>
          </w:rPr>
          <w:t xml:space="preserve">https://doi.org/10.1016/j.tej.2020.106863</w:t>
        </w:r>
      </w:hyperlink>
    </w:p>
    <w:bookmarkEnd w:id="296"/>
    <w:bookmarkStart w:id="297"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297"/>
    <w:bookmarkStart w:id="299"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298">
        <w:r>
          <w:rPr>
            <w:rStyle w:val="Hyperlink"/>
          </w:rPr>
          <w:t xml:space="preserve">https://doi.org/10.1016/j.enpol.2018.11.009</w:t>
        </w:r>
      </w:hyperlink>
    </w:p>
    <w:bookmarkEnd w:id="299"/>
    <w:bookmarkStart w:id="301"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300">
        <w:r>
          <w:rPr>
            <w:rStyle w:val="Hyperlink"/>
          </w:rPr>
          <w:t xml:space="preserve">https://doi.org/10.13140/RG.2.2.11620.50560</w:t>
        </w:r>
      </w:hyperlink>
    </w:p>
    <w:bookmarkEnd w:id="301"/>
    <w:bookmarkStart w:id="303"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302">
        <w:r>
          <w:rPr>
            <w:rStyle w:val="Hyperlink"/>
          </w:rPr>
          <w:t xml:space="preserve">https://doi.org/10.1109/tpwrs.2006.888965</w:t>
        </w:r>
      </w:hyperlink>
    </w:p>
    <w:bookmarkEnd w:id="303"/>
    <w:bookmarkStart w:id="305"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304">
        <w:r>
          <w:rPr>
            <w:rStyle w:val="Hyperlink"/>
          </w:rPr>
          <w:t xml:space="preserve">https://doi.org/10.1109/tpwrs.2006.888963</w:t>
        </w:r>
      </w:hyperlink>
    </w:p>
    <w:bookmarkEnd w:id="305"/>
    <w:bookmarkStart w:id="307"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306">
        <w:r>
          <w:rPr>
            <w:rStyle w:val="Hyperlink"/>
          </w:rPr>
          <w:t xml:space="preserve">https://doi.org/10.1016/j.tej.2007.06.003</w:t>
        </w:r>
      </w:hyperlink>
    </w:p>
    <w:bookmarkEnd w:id="307"/>
    <w:bookmarkStart w:id="308"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308"/>
    <w:bookmarkStart w:id="310"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309">
        <w:r>
          <w:rPr>
            <w:rStyle w:val="Hyperlink"/>
          </w:rPr>
          <w:t xml:space="preserve">https://doi.org/10.1016/j.tej.2015.03.006</w:t>
        </w:r>
      </w:hyperlink>
    </w:p>
    <w:bookmarkEnd w:id="310"/>
    <w:bookmarkStart w:id="312"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311">
        <w:r>
          <w:rPr>
            <w:rStyle w:val="Hyperlink"/>
          </w:rPr>
          <w:t xml:space="preserve">https://doi.org/10.1002/wene.137</w:t>
        </w:r>
      </w:hyperlink>
    </w:p>
    <w:bookmarkEnd w:id="312"/>
    <w:bookmarkStart w:id="313" w:name="ref-robertsReviewInternationalGrid2018"/>
    <w:p>
      <w:pPr>
        <w:pStyle w:val="Bibliography"/>
      </w:pPr>
      <w:r>
        <w:t xml:space="preserve">Roberts, C., 2018. Review of</w:t>
      </w:r>
      <w:r>
        <w:t xml:space="preserve"> </w:t>
      </w:r>
      <w:r>
        <w:t xml:space="preserve">International Grid Codes</w:t>
      </w:r>
      <w:r>
        <w:t xml:space="preserve">.</w:t>
      </w:r>
    </w:p>
    <w:bookmarkEnd w:id="313"/>
    <w:bookmarkStart w:id="314"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314"/>
    <w:bookmarkStart w:id="316"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315">
        <w:r>
          <w:rPr>
            <w:rStyle w:val="Hyperlink"/>
          </w:rPr>
          <w:t xml:space="preserve">https://doi.org/10.1016/j.enpol.2013.07.030</w:t>
        </w:r>
      </w:hyperlink>
    </w:p>
    <w:bookmarkEnd w:id="316"/>
    <w:bookmarkStart w:id="317"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317"/>
    <w:bookmarkStart w:id="318"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318"/>
    <w:bookmarkStart w:id="320"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319">
        <w:r>
          <w:rPr>
            <w:rStyle w:val="Hyperlink"/>
          </w:rPr>
          <w:t xml:space="preserve">https://doi.org/10.1016/j.tej.2020.106837</w:t>
        </w:r>
      </w:hyperlink>
    </w:p>
    <w:bookmarkEnd w:id="320"/>
    <w:bookmarkStart w:id="322"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321">
        <w:r>
          <w:rPr>
            <w:rStyle w:val="Hyperlink"/>
          </w:rPr>
          <w:t xml:space="preserve">https://doi.org/10.1109/mpe.2020.3014720</w:t>
        </w:r>
      </w:hyperlink>
    </w:p>
    <w:bookmarkEnd w:id="322"/>
    <w:bookmarkStart w:id="324"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323">
        <w:r>
          <w:rPr>
            <w:rStyle w:val="Hyperlink"/>
          </w:rPr>
          <w:t xml:space="preserve">https://doi.org/10.1109/pes.2007.385855</w:t>
        </w:r>
      </w:hyperlink>
    </w:p>
    <w:bookmarkEnd w:id="324"/>
    <w:bookmarkStart w:id="326"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325">
        <w:r>
          <w:rPr>
            <w:rStyle w:val="Hyperlink"/>
          </w:rPr>
          <w:t xml:space="preserve">https://doi.org/10.1260/030952408784305868</w:t>
        </w:r>
      </w:hyperlink>
    </w:p>
    <w:bookmarkEnd w:id="326"/>
    <w:bookmarkStart w:id="328" w:name="ref-tielensRelevanceInertiaPower2016"/>
    <w:p>
      <w:pPr>
        <w:pStyle w:val="Bibliography"/>
      </w:pPr>
      <w:r>
        <w:t xml:space="preserve">Tielens, P., Van Hertem, D., 2016. The relevance of inertia in power systems. Renewable and Sustainable Energy Reviews 55, 999–1009.</w:t>
      </w:r>
      <w:r>
        <w:t xml:space="preserve"> </w:t>
      </w:r>
      <w:hyperlink r:id="rId327">
        <w:r>
          <w:rPr>
            <w:rStyle w:val="Hyperlink"/>
          </w:rPr>
          <w:t xml:space="preserve">https://doi.org/10.1016/j.rser.2015.11.016</w:t>
        </w:r>
      </w:hyperlink>
    </w:p>
    <w:bookmarkEnd w:id="328"/>
    <w:bookmarkStart w:id="330"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329">
        <w:r>
          <w:rPr>
            <w:rStyle w:val="Hyperlink"/>
          </w:rPr>
          <w:t xml:space="preserve">https://doi.org/10.3182/20140824-6-za-1003.02615</w:t>
        </w:r>
      </w:hyperlink>
    </w:p>
    <w:bookmarkEnd w:id="330"/>
    <w:bookmarkStart w:id="332"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331">
        <w:r>
          <w:rPr>
            <w:rStyle w:val="Hyperlink"/>
          </w:rPr>
          <w:t xml:space="preserve">https://doi.org/10.1016/j.jup.2016.10.008</w:t>
        </w:r>
      </w:hyperlink>
    </w:p>
    <w:bookmarkEnd w:id="332"/>
    <w:bookmarkStart w:id="334"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333">
        <w:r>
          <w:rPr>
            <w:rStyle w:val="Hyperlink"/>
          </w:rPr>
          <w:t xml:space="preserve">https://doi.org/10.1016/j.enpol.2009.07.034</w:t>
        </w:r>
      </w:hyperlink>
    </w:p>
    <w:bookmarkEnd w:id="334"/>
    <w:bookmarkStart w:id="335"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335"/>
    <w:bookmarkEnd w:id="336"/>
    <w:bookmarkEnd w:id="3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39">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42">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47">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55">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65">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2020f</w:t>
        </w:r>
      </w:hyperlink>
      <w:r>
        <w:t xml:space="preserve">)</w:t>
      </w:r>
      <w:r>
        <w:t xml:space="preserve">.</w:t>
      </w:r>
    </w:p>
  </w:footnote>
  <w:footnote w:id="70">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2020h</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85">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71" Target="media/rId71.eps" /><Relationship Type="http://schemas.openxmlformats.org/officeDocument/2006/relationships/image" Id="rId79" Target="media/rId79.png" /><Relationship Type="http://schemas.openxmlformats.org/officeDocument/2006/relationships/image" Id="rId99" Target="media/rId99.pdf" /><Relationship Type="http://schemas.openxmlformats.org/officeDocument/2006/relationships/image" Id="rId86" Target="media/rId86.png" /><Relationship Type="http://schemas.openxmlformats.org/officeDocument/2006/relationships/image" Id="rId103" Target="media/rId103.jpg" /><Relationship Type="http://schemas.openxmlformats.org/officeDocument/2006/relationships/image" Id="rId82" Target="media/rId82.eps" /><Relationship Type="http://schemas.openxmlformats.org/officeDocument/2006/relationships/image" Id="rId75" Target="media/rId75.eps" /><Relationship Type="http://schemas.openxmlformats.org/officeDocument/2006/relationships/image" Id="rId59" Target="media/rId59.eps" /><Relationship Type="http://schemas.openxmlformats.org/officeDocument/2006/relationships/hyperlink" Id="rId239" Target="https://doi.org/10.1002/2050-7038.12128" TargetMode="External" /><Relationship Type="http://schemas.openxmlformats.org/officeDocument/2006/relationships/hyperlink" Id="rId311" Target="https://doi.org/10.1002/wene.137" TargetMode="External" /><Relationship Type="http://schemas.openxmlformats.org/officeDocument/2006/relationships/hyperlink" Id="rId273" Target="https://doi.org/10.1002/wene.399" TargetMode="External" /><Relationship Type="http://schemas.openxmlformats.org/officeDocument/2006/relationships/hyperlink" Id="rId206" Target="https://doi.org/10.1007/s11149-021-09430-7" TargetMode="External" /><Relationship Type="http://schemas.openxmlformats.org/officeDocument/2006/relationships/hyperlink" Id="rId291" Target="https://doi.org/10.1016/j.eneco.2018.05.003" TargetMode="External" /><Relationship Type="http://schemas.openxmlformats.org/officeDocument/2006/relationships/hyperlink" Id="rId248" Target="https://doi.org/10.1016/j.enpol.2008.06.033" TargetMode="External" /><Relationship Type="http://schemas.openxmlformats.org/officeDocument/2006/relationships/hyperlink" Id="rId333" Target="https://doi.org/10.1016/j.enpol.2009.07.034" TargetMode="External" /><Relationship Type="http://schemas.openxmlformats.org/officeDocument/2006/relationships/hyperlink" Id="rId315" Target="https://doi.org/10.1016/j.enpol.2013.07.030" TargetMode="External" /><Relationship Type="http://schemas.openxmlformats.org/officeDocument/2006/relationships/hyperlink" Id="rId198" Target="https://doi.org/10.1016/j.enpol.2018.09.031" TargetMode="External" /><Relationship Type="http://schemas.openxmlformats.org/officeDocument/2006/relationships/hyperlink" Id="rId298" Target="https://doi.org/10.1016/j.enpol.2018.11.009" TargetMode="External" /><Relationship Type="http://schemas.openxmlformats.org/officeDocument/2006/relationships/hyperlink" Id="rId264" Target="https://doi.org/10.1016/j.enpol.2020.111739" TargetMode="External" /><Relationship Type="http://schemas.openxmlformats.org/officeDocument/2006/relationships/hyperlink" Id="rId231" Target="https://doi.org/10.1016/j.enpol.2021.112443" TargetMode="External" /><Relationship Type="http://schemas.openxmlformats.org/officeDocument/2006/relationships/hyperlink" Id="rId283" Target="https://doi.org/10.1016/j.ijepes.2013.09.020" TargetMode="External" /><Relationship Type="http://schemas.openxmlformats.org/officeDocument/2006/relationships/hyperlink" Id="rId331" Target="https://doi.org/10.1016/j.jup.2016.10.008" TargetMode="External" /><Relationship Type="http://schemas.openxmlformats.org/officeDocument/2006/relationships/hyperlink" Id="rId251" Target="https://doi.org/10.1016/j.renene.2020.11.090" TargetMode="External" /><Relationship Type="http://schemas.openxmlformats.org/officeDocument/2006/relationships/hyperlink" Id="rId242" Target="https://doi.org/10.1016/j.rser.2015.04.180" TargetMode="External" /><Relationship Type="http://schemas.openxmlformats.org/officeDocument/2006/relationships/hyperlink" Id="rId327" Target="https://doi.org/10.1016/j.rser.2015.11.016" TargetMode="External" /><Relationship Type="http://schemas.openxmlformats.org/officeDocument/2006/relationships/hyperlink" Id="rId289" Target="https://doi.org/10.1016/j.rser.2016.09.040" TargetMode="External" /><Relationship Type="http://schemas.openxmlformats.org/officeDocument/2006/relationships/hyperlink" Id="rId186" Target="https://doi.org/10.1016/j.rser.2018.03.085" TargetMode="External" /><Relationship Type="http://schemas.openxmlformats.org/officeDocument/2006/relationships/hyperlink" Id="rId229" Target="https://doi.org/10.1016/j.rser.2019.109662" TargetMode="External" /><Relationship Type="http://schemas.openxmlformats.org/officeDocument/2006/relationships/hyperlink" Id="rId259" Target="https://doi.org/10.1016/j.rser.2020.110467" TargetMode="External" /><Relationship Type="http://schemas.openxmlformats.org/officeDocument/2006/relationships/hyperlink" Id="rId253" Target="https://doi.org/10.1016/j.solener.2020.05.053" TargetMode="External" /><Relationship Type="http://schemas.openxmlformats.org/officeDocument/2006/relationships/hyperlink" Id="rId306" Target="https://doi.org/10.1016/j.tej.2007.06.003" TargetMode="External" /><Relationship Type="http://schemas.openxmlformats.org/officeDocument/2006/relationships/hyperlink" Id="rId279" Target="https://doi.org/10.1016/j.tej.2011.10.011" TargetMode="External" /><Relationship Type="http://schemas.openxmlformats.org/officeDocument/2006/relationships/hyperlink" Id="rId215" Target="https://doi.org/10.1016/j.tej.2012.04.015" TargetMode="External" /><Relationship Type="http://schemas.openxmlformats.org/officeDocument/2006/relationships/hyperlink" Id="rId309" Target="https://doi.org/10.1016/j.tej.2015.03.006" TargetMode="External" /><Relationship Type="http://schemas.openxmlformats.org/officeDocument/2006/relationships/hyperlink" Id="rId190" Target="https://doi.org/10.1016/j.tej.2019.106668" TargetMode="External" /><Relationship Type="http://schemas.openxmlformats.org/officeDocument/2006/relationships/hyperlink" Id="rId268" Target="https://doi.org/10.1016/j.tej.2020.106831" TargetMode="External" /><Relationship Type="http://schemas.openxmlformats.org/officeDocument/2006/relationships/hyperlink" Id="rId319" Target="https://doi.org/10.1016/j.tej.2020.106837" TargetMode="External" /><Relationship Type="http://schemas.openxmlformats.org/officeDocument/2006/relationships/hyperlink" Id="rId295" Target="https://doi.org/10.1016/j.tej.2020.106863" TargetMode="External" /><Relationship Type="http://schemas.openxmlformats.org/officeDocument/2006/relationships/hyperlink" Id="rId221" Target="https://doi.org/10.1049/iet-rpg.2017.0370" TargetMode="External" /><Relationship Type="http://schemas.openxmlformats.org/officeDocument/2006/relationships/hyperlink" Id="rId237" Target="https://doi.org/10.1080/23251042.2016.1155690" TargetMode="External" /><Relationship Type="http://schemas.openxmlformats.org/officeDocument/2006/relationships/hyperlink" Id="rId196" Target="https://doi.org/10.1093/oxrep/grx041" TargetMode="External" /><Relationship Type="http://schemas.openxmlformats.org/officeDocument/2006/relationships/hyperlink" Id="rId204" Target="https://doi.org/10.1109/MPE.2021.3088958" TargetMode="External" /><Relationship Type="http://schemas.openxmlformats.org/officeDocument/2006/relationships/hyperlink" Id="rId287" Target="https://doi.org/10.1109/eem.2016.7521193" TargetMode="External" /><Relationship Type="http://schemas.openxmlformats.org/officeDocument/2006/relationships/hyperlink" Id="rId193" Target="https://doi.org/10.1109/jproc.2005.857493" TargetMode="External" /><Relationship Type="http://schemas.openxmlformats.org/officeDocument/2006/relationships/hyperlink" Id="rId257" Target="https://doi.org/10.1109/mpe.2016.2637122" TargetMode="External" /><Relationship Type="http://schemas.openxmlformats.org/officeDocument/2006/relationships/hyperlink" Id="rId213" Target="https://doi.org/10.1109/mpe.2019.2933281" TargetMode="External" /><Relationship Type="http://schemas.openxmlformats.org/officeDocument/2006/relationships/hyperlink" Id="rId321" Target="https://doi.org/10.1109/mpe.2020.3014720" TargetMode="External" /><Relationship Type="http://schemas.openxmlformats.org/officeDocument/2006/relationships/hyperlink" Id="rId271" Target="https://doi.org/10.1109/mpe.2020.3043570" TargetMode="External" /><Relationship Type="http://schemas.openxmlformats.org/officeDocument/2006/relationships/hyperlink" Id="rId261" Target="https://doi.org/10.1109/mpe.2021.3088959" TargetMode="External" /><Relationship Type="http://schemas.openxmlformats.org/officeDocument/2006/relationships/hyperlink" Id="rId323" Target="https://doi.org/10.1109/pes.2007.385855" TargetMode="External" /><Relationship Type="http://schemas.openxmlformats.org/officeDocument/2006/relationships/hyperlink" Id="rId209" Target="https://doi.org/10.1109/pesgm.2012.6345361" TargetMode="External" /><Relationship Type="http://schemas.openxmlformats.org/officeDocument/2006/relationships/hyperlink" Id="rId266" Target="https://doi.org/10.1109/pesgm41954.2020.9282169" TargetMode="External" /><Relationship Type="http://schemas.openxmlformats.org/officeDocument/2006/relationships/hyperlink" Id="rId244" Target="https://doi.org/10.1109/pesmg.2013.6673067" TargetMode="External" /><Relationship Type="http://schemas.openxmlformats.org/officeDocument/2006/relationships/hyperlink" Id="rId293" Target="https://doi.org/10.1109/pmaps47429.2020.9183585" TargetMode="External" /><Relationship Type="http://schemas.openxmlformats.org/officeDocument/2006/relationships/hyperlink" Id="rId304" Target="https://doi.org/10.1109/tpwrs.2006.888963" TargetMode="External" /><Relationship Type="http://schemas.openxmlformats.org/officeDocument/2006/relationships/hyperlink" Id="rId302" Target="https://doi.org/10.1109/tpwrs.2006.888965" TargetMode="External" /><Relationship Type="http://schemas.openxmlformats.org/officeDocument/2006/relationships/hyperlink" Id="rId325" Target="https://doi.org/10.1260/030952408784305868" TargetMode="External" /><Relationship Type="http://schemas.openxmlformats.org/officeDocument/2006/relationships/hyperlink" Id="rId300" Target="https://doi.org/10.13140/RG.2.2.11620.50560" TargetMode="External" /><Relationship Type="http://schemas.openxmlformats.org/officeDocument/2006/relationships/hyperlink" Id="rId132" Target="https://doi.org/10.2139/ssrn.3302569" TargetMode="External" /><Relationship Type="http://schemas.openxmlformats.org/officeDocument/2006/relationships/hyperlink" Id="rId211" Target="https://doi.org/10.2172/1023095" TargetMode="External" /><Relationship Type="http://schemas.openxmlformats.org/officeDocument/2006/relationships/hyperlink" Id="rId275" Target="https://doi.org/10.23919/pscc.2018.8450880" TargetMode="External" /><Relationship Type="http://schemas.openxmlformats.org/officeDocument/2006/relationships/hyperlink" Id="rId188" Target="https://doi.org/10.26889/9781784671600" TargetMode="External" /><Relationship Type="http://schemas.openxmlformats.org/officeDocument/2006/relationships/hyperlink" Id="rId329" Target="https://doi.org/10.3182/20140824-6-za-1003.02615" TargetMode="External" /><Relationship Type="http://schemas.openxmlformats.org/officeDocument/2006/relationships/hyperlink" Id="rId26" Target="https://github.com/tompollard/phd_thesis_markdown/blob/master/README.md" TargetMode="External" /></Relationships>
</file>

<file path=word/_rels/footnotes.xml.rels><?xml version="1.0" encoding="UTF-8"?><Relationships xmlns="http://schemas.openxmlformats.org/package/2006/relationships"><Relationship Type="http://schemas.openxmlformats.org/officeDocument/2006/relationships/hyperlink" Id="rId239" Target="https://doi.org/10.1002/2050-7038.12128" TargetMode="External" /><Relationship Type="http://schemas.openxmlformats.org/officeDocument/2006/relationships/hyperlink" Id="rId311" Target="https://doi.org/10.1002/wene.137" TargetMode="External" /><Relationship Type="http://schemas.openxmlformats.org/officeDocument/2006/relationships/hyperlink" Id="rId273" Target="https://doi.org/10.1002/wene.399" TargetMode="External" /><Relationship Type="http://schemas.openxmlformats.org/officeDocument/2006/relationships/hyperlink" Id="rId206" Target="https://doi.org/10.1007/s11149-021-09430-7" TargetMode="External" /><Relationship Type="http://schemas.openxmlformats.org/officeDocument/2006/relationships/hyperlink" Id="rId291" Target="https://doi.org/10.1016/j.eneco.2018.05.003" TargetMode="External" /><Relationship Type="http://schemas.openxmlformats.org/officeDocument/2006/relationships/hyperlink" Id="rId248" Target="https://doi.org/10.1016/j.enpol.2008.06.033" TargetMode="External" /><Relationship Type="http://schemas.openxmlformats.org/officeDocument/2006/relationships/hyperlink" Id="rId333" Target="https://doi.org/10.1016/j.enpol.2009.07.034" TargetMode="External" /><Relationship Type="http://schemas.openxmlformats.org/officeDocument/2006/relationships/hyperlink" Id="rId315" Target="https://doi.org/10.1016/j.enpol.2013.07.030" TargetMode="External" /><Relationship Type="http://schemas.openxmlformats.org/officeDocument/2006/relationships/hyperlink" Id="rId198" Target="https://doi.org/10.1016/j.enpol.2018.09.031" TargetMode="External" /><Relationship Type="http://schemas.openxmlformats.org/officeDocument/2006/relationships/hyperlink" Id="rId298" Target="https://doi.org/10.1016/j.enpol.2018.11.009" TargetMode="External" /><Relationship Type="http://schemas.openxmlformats.org/officeDocument/2006/relationships/hyperlink" Id="rId264" Target="https://doi.org/10.1016/j.enpol.2020.111739" TargetMode="External" /><Relationship Type="http://schemas.openxmlformats.org/officeDocument/2006/relationships/hyperlink" Id="rId231" Target="https://doi.org/10.1016/j.enpol.2021.112443" TargetMode="External" /><Relationship Type="http://schemas.openxmlformats.org/officeDocument/2006/relationships/hyperlink" Id="rId283" Target="https://doi.org/10.1016/j.ijepes.2013.09.020" TargetMode="External" /><Relationship Type="http://schemas.openxmlformats.org/officeDocument/2006/relationships/hyperlink" Id="rId331" Target="https://doi.org/10.1016/j.jup.2016.10.008" TargetMode="External" /><Relationship Type="http://schemas.openxmlformats.org/officeDocument/2006/relationships/hyperlink" Id="rId251" Target="https://doi.org/10.1016/j.renene.2020.11.090" TargetMode="External" /><Relationship Type="http://schemas.openxmlformats.org/officeDocument/2006/relationships/hyperlink" Id="rId242" Target="https://doi.org/10.1016/j.rser.2015.04.180" TargetMode="External" /><Relationship Type="http://schemas.openxmlformats.org/officeDocument/2006/relationships/hyperlink" Id="rId327" Target="https://doi.org/10.1016/j.rser.2015.11.016" TargetMode="External" /><Relationship Type="http://schemas.openxmlformats.org/officeDocument/2006/relationships/hyperlink" Id="rId289" Target="https://doi.org/10.1016/j.rser.2016.09.040" TargetMode="External" /><Relationship Type="http://schemas.openxmlformats.org/officeDocument/2006/relationships/hyperlink" Id="rId186" Target="https://doi.org/10.1016/j.rser.2018.03.085" TargetMode="External" /><Relationship Type="http://schemas.openxmlformats.org/officeDocument/2006/relationships/hyperlink" Id="rId229" Target="https://doi.org/10.1016/j.rser.2019.109662" TargetMode="External" /><Relationship Type="http://schemas.openxmlformats.org/officeDocument/2006/relationships/hyperlink" Id="rId259" Target="https://doi.org/10.1016/j.rser.2020.110467" TargetMode="External" /><Relationship Type="http://schemas.openxmlformats.org/officeDocument/2006/relationships/hyperlink" Id="rId253" Target="https://doi.org/10.1016/j.solener.2020.05.053" TargetMode="External" /><Relationship Type="http://schemas.openxmlformats.org/officeDocument/2006/relationships/hyperlink" Id="rId306" Target="https://doi.org/10.1016/j.tej.2007.06.003" TargetMode="External" /><Relationship Type="http://schemas.openxmlformats.org/officeDocument/2006/relationships/hyperlink" Id="rId279" Target="https://doi.org/10.1016/j.tej.2011.10.011" TargetMode="External" /><Relationship Type="http://schemas.openxmlformats.org/officeDocument/2006/relationships/hyperlink" Id="rId215" Target="https://doi.org/10.1016/j.tej.2012.04.015" TargetMode="External" /><Relationship Type="http://schemas.openxmlformats.org/officeDocument/2006/relationships/hyperlink" Id="rId309" Target="https://doi.org/10.1016/j.tej.2015.03.006" TargetMode="External" /><Relationship Type="http://schemas.openxmlformats.org/officeDocument/2006/relationships/hyperlink" Id="rId190" Target="https://doi.org/10.1016/j.tej.2019.106668" TargetMode="External" /><Relationship Type="http://schemas.openxmlformats.org/officeDocument/2006/relationships/hyperlink" Id="rId268" Target="https://doi.org/10.1016/j.tej.2020.106831" TargetMode="External" /><Relationship Type="http://schemas.openxmlformats.org/officeDocument/2006/relationships/hyperlink" Id="rId319" Target="https://doi.org/10.1016/j.tej.2020.106837" TargetMode="External" /><Relationship Type="http://schemas.openxmlformats.org/officeDocument/2006/relationships/hyperlink" Id="rId295" Target="https://doi.org/10.1016/j.tej.2020.106863" TargetMode="External" /><Relationship Type="http://schemas.openxmlformats.org/officeDocument/2006/relationships/hyperlink" Id="rId221" Target="https://doi.org/10.1049/iet-rpg.2017.0370" TargetMode="External" /><Relationship Type="http://schemas.openxmlformats.org/officeDocument/2006/relationships/hyperlink" Id="rId237" Target="https://doi.org/10.1080/23251042.2016.1155690" TargetMode="External" /><Relationship Type="http://schemas.openxmlformats.org/officeDocument/2006/relationships/hyperlink" Id="rId196" Target="https://doi.org/10.1093/oxrep/grx041" TargetMode="External" /><Relationship Type="http://schemas.openxmlformats.org/officeDocument/2006/relationships/hyperlink" Id="rId204" Target="https://doi.org/10.1109/MPE.2021.3088958" TargetMode="External" /><Relationship Type="http://schemas.openxmlformats.org/officeDocument/2006/relationships/hyperlink" Id="rId287" Target="https://doi.org/10.1109/eem.2016.7521193" TargetMode="External" /><Relationship Type="http://schemas.openxmlformats.org/officeDocument/2006/relationships/hyperlink" Id="rId193" Target="https://doi.org/10.1109/jproc.2005.857493" TargetMode="External" /><Relationship Type="http://schemas.openxmlformats.org/officeDocument/2006/relationships/hyperlink" Id="rId257" Target="https://doi.org/10.1109/mpe.2016.2637122" TargetMode="External" /><Relationship Type="http://schemas.openxmlformats.org/officeDocument/2006/relationships/hyperlink" Id="rId213" Target="https://doi.org/10.1109/mpe.2019.2933281" TargetMode="External" /><Relationship Type="http://schemas.openxmlformats.org/officeDocument/2006/relationships/hyperlink" Id="rId321" Target="https://doi.org/10.1109/mpe.2020.3014720" TargetMode="External" /><Relationship Type="http://schemas.openxmlformats.org/officeDocument/2006/relationships/hyperlink" Id="rId271" Target="https://doi.org/10.1109/mpe.2020.3043570" TargetMode="External" /><Relationship Type="http://schemas.openxmlformats.org/officeDocument/2006/relationships/hyperlink" Id="rId261" Target="https://doi.org/10.1109/mpe.2021.3088959" TargetMode="External" /><Relationship Type="http://schemas.openxmlformats.org/officeDocument/2006/relationships/hyperlink" Id="rId323" Target="https://doi.org/10.1109/pes.2007.385855" TargetMode="External" /><Relationship Type="http://schemas.openxmlformats.org/officeDocument/2006/relationships/hyperlink" Id="rId209" Target="https://doi.org/10.1109/pesgm.2012.6345361" TargetMode="External" /><Relationship Type="http://schemas.openxmlformats.org/officeDocument/2006/relationships/hyperlink" Id="rId266" Target="https://doi.org/10.1109/pesgm41954.2020.9282169" TargetMode="External" /><Relationship Type="http://schemas.openxmlformats.org/officeDocument/2006/relationships/hyperlink" Id="rId244" Target="https://doi.org/10.1109/pesmg.2013.6673067" TargetMode="External" /><Relationship Type="http://schemas.openxmlformats.org/officeDocument/2006/relationships/hyperlink" Id="rId293" Target="https://doi.org/10.1109/pmaps47429.2020.9183585" TargetMode="External" /><Relationship Type="http://schemas.openxmlformats.org/officeDocument/2006/relationships/hyperlink" Id="rId304" Target="https://doi.org/10.1109/tpwrs.2006.888963" TargetMode="External" /><Relationship Type="http://schemas.openxmlformats.org/officeDocument/2006/relationships/hyperlink" Id="rId302" Target="https://doi.org/10.1109/tpwrs.2006.888965" TargetMode="External" /><Relationship Type="http://schemas.openxmlformats.org/officeDocument/2006/relationships/hyperlink" Id="rId325" Target="https://doi.org/10.1260/030952408784305868" TargetMode="External" /><Relationship Type="http://schemas.openxmlformats.org/officeDocument/2006/relationships/hyperlink" Id="rId300" Target="https://doi.org/10.13140/RG.2.2.11620.50560" TargetMode="External" /><Relationship Type="http://schemas.openxmlformats.org/officeDocument/2006/relationships/hyperlink" Id="rId132" Target="https://doi.org/10.2139/ssrn.3302569" TargetMode="External" /><Relationship Type="http://schemas.openxmlformats.org/officeDocument/2006/relationships/hyperlink" Id="rId211" Target="https://doi.org/10.2172/1023095" TargetMode="External" /><Relationship Type="http://schemas.openxmlformats.org/officeDocument/2006/relationships/hyperlink" Id="rId275" Target="https://doi.org/10.23919/pscc.2018.8450880" TargetMode="External" /><Relationship Type="http://schemas.openxmlformats.org/officeDocument/2006/relationships/hyperlink" Id="rId188" Target="https://doi.org/10.26889/9781784671600" TargetMode="External" /><Relationship Type="http://schemas.openxmlformats.org/officeDocument/2006/relationships/hyperlink" Id="rId329" Target="https://doi.org/10.3182/20140824-6-za-1003.02615" TargetMode="External" /><Relationship Type="http://schemas.openxmlformats.org/officeDocument/2006/relationships/hyperlink" Id="rId26" Target="https://github.com/tompollard/phd_thesis_markdown/blob/master/READM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Abhijith Prakash</dc:creator>
  <cp:keywords/>
  <dcterms:created xsi:type="dcterms:W3CDTF">2023-04-26T12:23:28Z</dcterms:created>
  <dcterms:modified xsi:type="dcterms:W3CDTF">2023-04-26T12:23:28Z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April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This is the HTML document title</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This is the subtitle of the thesis</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